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LEVITICUS 22</w:t>
      </w:r>
    </w:p>
    <w:p>
      <w:pPr>
        <w:pStyle w:val="Subtitle"/>
      </w:pPr>
      <w:r>
        <w:t>PRIESTS AND HOLY FOOD • TEMPORARY UNCLEANNESS • WHO MAY EAT • RESTITUTION PLUS A FIFTH • ACCEPTABLE OFFERINGS • “FOR YOUR ACCEPTANCE” • AGE OF SACRIFICE • HALLOW MY NAME</w:t>
      </w:r>
    </w:p>
    <w:p>
      <w:pPr/>
      <w:r>
        <w:rPr>
          <w:i/>
        </w:rPr>
        <w:t>H. P. Mansfield Bible notes — checked and arranged in verse-by-verse Expositor style</w:t>
      </w:r>
    </w:p>
    <w:p>
      <w:pPr/>
      <w:r>
        <w:rPr>
          <w:i w:val="0"/>
        </w:rPr>
        <w:t>Source: HPB03 Leviticus 22 annotated pages; cross-checked with Mansfield Expositor Chapter 22</w:t>
      </w:r>
    </w:p>
    <w:p>
      <w:pPr>
        <w:pStyle w:val="Heading1"/>
      </w:pPr>
      <w:r>
        <w:t>CHAPTER OVERVIEW</w:t>
      </w:r>
    </w:p>
    <w:p>
      <w:pPr/>
      <w:r>
        <w:rPr>
          <w:i w:val="0"/>
        </w:rPr>
        <w:t>Leviticus 22 governs both persons and offerings associated with holy things. Priestly office does not override ceremonial uncleanness, and an expensive sacrifice is not acceptable merely because it is costly.</w:t>
      </w:r>
    </w:p>
    <w:p>
      <w:pPr/>
      <w:r>
        <w:rPr>
          <w:i w:val="0"/>
        </w:rPr>
        <w:t>The chapter repeatedly guards Yahweh’s holy Name. Priests must approach sacred food cleanly, household access is defined, and altar animals must meet the conditions Yahweh has stated.</w:t>
      </w:r>
    </w:p>
    <w:p>
      <w:pPr>
        <w:pStyle w:val="Heading1"/>
      </w:pPr>
      <w:r>
        <w:t>PRIESTS TEMPORARILY EXCLUDED — LEVITICUS 22:1–9</w:t>
      </w:r>
    </w:p>
    <w:p>
      <w:pPr>
        <w:pStyle w:val="Heading2"/>
      </w:pPr>
      <w:r>
        <w:t>Leviticus 22:1–3 — do not profane the holy Name</w:t>
      </w:r>
    </w:p>
    <w:p>
      <w:pPr/>
      <w:r>
        <w:rPr>
          <w:i w:val="0"/>
        </w:rPr>
        <w:t>A priest carrying uncleanness must abstain from the holy things Israel dedicates to Yahweh. “Cut off from my presence” expresses exclusion/judgment for presumptuous approach while unclean; office does not make uncleanness irrelevant.</w:t>
      </w:r>
    </w:p>
    <w:p>
      <w:pPr>
        <w:pStyle w:val="Heading2"/>
      </w:pPr>
      <w:r>
        <w:t>Leviticus 22:4–7 — sources of uncleanness and restoration</w:t>
      </w:r>
    </w:p>
    <w:p>
      <w:pPr/>
      <w:r>
        <w:rPr>
          <w:i w:val="0"/>
        </w:rPr>
        <w:t>Tsara‘at, a bodily discharge, contact connected with a dead person/corpse, seminal emission, unclean creeping creatures and transferable human uncleanness temporarily exclude a priest from holy food.</w:t>
      </w:r>
    </w:p>
    <w:p>
      <w:pPr/>
      <w:r>
        <w:rPr>
          <w:i w:val="0"/>
        </w:rPr>
        <w:t>After washing, the priest remains unclean until evening; after sunset he may eat holy food because it is his appointed provision. Verse 4’s nephesh is best understood in the corpse/person context rather than used to deny the evident connection with death.</w:t>
      </w:r>
    </w:p>
    <w:p>
      <w:pPr>
        <w:pStyle w:val="Heading2"/>
      </w:pPr>
      <w:r>
        <w:t>Leviticus 22:8–9 — carcass food and guarding Yahweh’s charge</w:t>
      </w:r>
    </w:p>
    <w:p>
      <w:pPr/>
      <w:r>
        <w:rPr>
          <w:i w:val="0"/>
        </w:rPr>
        <w:t>A priest must not defile himself by eating an animal carcass or one torn by beasts. He must keep Yahweh’s charge lest he bear sin and die through profaning holy things.</w:t>
      </w:r>
    </w:p>
    <w:p>
      <w:pPr>
        <w:pStyle w:val="Heading1"/>
      </w:pPr>
      <w:r>
        <w:t>WHO MAY EAT HOLY FOOD — LEVITICUS 22:10–16</w:t>
      </w:r>
    </w:p>
    <w:p>
      <w:pPr>
        <w:pStyle w:val="Heading2"/>
      </w:pPr>
      <w:r>
        <w:t>Leviticus 22:10–11 — household membership matters</w:t>
      </w:r>
    </w:p>
    <w:p>
      <w:pPr/>
      <w:r>
        <w:rPr>
          <w:i w:val="0"/>
        </w:rPr>
        <w:t>A zar, outsider to the priestly household, a resident tenant/guest, and a hired servant may not eat the holy portion. A purchased slave and one born in the priest’s house may eat because they belong to his household under the ancient social order.</w:t>
      </w:r>
    </w:p>
    <w:p>
      <w:pPr/>
      <w:r>
        <w:rPr>
          <w:i w:val="0"/>
        </w:rPr>
        <w:t>The text describes legal household status in ancient Israel; it should not be used to endorse modern slavery.</w:t>
      </w:r>
    </w:p>
    <w:p>
      <w:pPr>
        <w:pStyle w:val="Heading2"/>
      </w:pPr>
      <w:r>
        <w:t>Leviticus 22:12–13 — priest’s daughter</w:t>
      </w:r>
    </w:p>
    <w:p>
      <w:pPr/>
      <w:r>
        <w:rPr>
          <w:i w:val="0"/>
        </w:rPr>
        <w:t>A priest’s daughter married to a non-priestly outsider no longer eats the priestly contribution. If widowed or divorced, childless, and returned to her father’s house as in youth, she may again eat her father’s food.</w:t>
      </w:r>
    </w:p>
    <w:p>
      <w:pPr/>
      <w:r>
        <w:rPr>
          <w:i w:val="0"/>
        </w:rPr>
        <w:t>The rule concerns priestly household entitlement, not the moral worth of a widow or divorcee.</w:t>
      </w:r>
    </w:p>
    <w:p>
      <w:pPr>
        <w:pStyle w:val="Heading2"/>
      </w:pPr>
      <w:r>
        <w:t>Leviticus 22:14–16 — inadvertent eating and restitution</w:t>
      </w:r>
    </w:p>
    <w:p>
      <w:pPr/>
      <w:r>
        <w:rPr>
          <w:i w:val="0"/>
        </w:rPr>
        <w:t>Anyone who unintentionally eats holy food must restore its value and add one fifth. This parallels the restitution principle of Leviticus 5:15–16.</w:t>
      </w:r>
    </w:p>
    <w:p>
      <w:pPr/>
      <w:r>
        <w:rPr>
          <w:i w:val="0"/>
        </w:rPr>
        <w:t>Holy property is not made common by accidental misuse; the wrong is acknowledged and repaired.</w:t>
      </w:r>
    </w:p>
    <w:p>
      <w:pPr>
        <w:pStyle w:val="Heading1"/>
      </w:pPr>
      <w:r>
        <w:t>OFFERINGS WITHOUT BLEMISH — LEVITICUS 22:17–25</w:t>
      </w:r>
    </w:p>
    <w:p>
      <w:pPr>
        <w:pStyle w:val="Heading2"/>
      </w:pPr>
      <w:r>
        <w:t>Leviticus 22:17–20 — “for your acceptance,” not merely “at your own will”</w:t>
      </w:r>
    </w:p>
    <w:p>
      <w:pPr/>
      <w:r>
        <w:rPr>
          <w:i w:val="0"/>
        </w:rPr>
        <w:t>Burnt offerings brought for vows or freewill gifts must be a male without blemish from cattle, sheep or goats. KJV verse 19 “at your own will” translates lirtsonkem; as in Leviticus 1:3 the better sense is “for your acceptance / that it may be accepted for you.”</w:t>
      </w:r>
    </w:p>
    <w:p>
      <w:pPr/>
      <w:r>
        <w:rPr>
          <w:i w:val="0"/>
        </w:rPr>
        <w:t>A blemished offering is not acceptable. Malachi 1:8,13–14 later condemns Israel for knowingly presenting defective animals.</w:t>
      </w:r>
    </w:p>
    <w:p>
      <w:pPr>
        <w:pStyle w:val="Heading2"/>
      </w:pPr>
      <w:r>
        <w:t>Leviticus 22:21–23 — peace offerings and one limited exception</w:t>
      </w:r>
    </w:p>
    <w:p>
      <w:pPr/>
      <w:r>
        <w:rPr>
          <w:i w:val="0"/>
        </w:rPr>
        <w:t>A peace offering for a vow or freewill gift must ordinarily be complete/without blemish. Verse 23 permits an ox or lamb with a limb unusually long or short to be used for a freewill offering, but not accepted for a vow.</w:t>
      </w:r>
    </w:p>
    <w:p>
      <w:pPr/>
      <w:r>
        <w:rPr>
          <w:i w:val="0"/>
        </w:rPr>
        <w:t>The distinction shows that “blemish” rules are more nuanced than a blanket statement that every bodily irregularity makes every offering unusable.</w:t>
      </w:r>
    </w:p>
    <w:p>
      <w:pPr>
        <w:pStyle w:val="Heading2"/>
      </w:pPr>
      <w:r>
        <w:t>Leviticus 22:24–25 — damaged reproductive organs and foreign-sourced offerings</w:t>
      </w:r>
    </w:p>
    <w:p>
      <w:pPr/>
      <w:r>
        <w:rPr>
          <w:i w:val="0"/>
        </w:rPr>
        <w:t>Animals with crushed, bruised, torn or cut reproductive organs are prohibited for altar offering. Israel must not accept from a foreigner an animal carrying such corruption/blemish and present it as Yahweh’s food.</w:t>
      </w:r>
    </w:p>
    <w:p>
      <w:pPr/>
      <w:r>
        <w:rPr>
          <w:i w:val="0"/>
        </w:rPr>
        <w:t>The rule concerns sacrificial fitness, not the moral status of the foreign donor.</w:t>
      </w:r>
    </w:p>
    <w:p>
      <w:pPr>
        <w:pStyle w:val="Heading1"/>
      </w:pPr>
      <w:r>
        <w:t>AGE, THANKSGIVING AND THE NAME — LEVITICUS 22:26–33</w:t>
      </w:r>
    </w:p>
    <w:p>
      <w:pPr>
        <w:pStyle w:val="Heading2"/>
      </w:pPr>
      <w:r>
        <w:t>Leviticus 22:26–28 — seven days with the dam; not dam and young on same day</w:t>
      </w:r>
    </w:p>
    <w:p>
      <w:pPr/>
      <w:r>
        <w:rPr>
          <w:i w:val="0"/>
        </w:rPr>
        <w:t>A newborn ox, sheep or goat remains with its mother seven days and may be accepted from the eighth day onward. A mother animal and its offspring are not slaughtered on the same day.</w:t>
      </w:r>
    </w:p>
    <w:p>
      <w:pPr/>
      <w:r>
        <w:rPr>
          <w:i w:val="0"/>
        </w:rPr>
        <w:t>This can reasonably be described as a restraint on sacrificial use and may have humane effect, but the verse itself does not state “animal welfare” as its theological explanation.</w:t>
      </w:r>
    </w:p>
    <w:p>
      <w:pPr>
        <w:pStyle w:val="Heading2"/>
      </w:pPr>
      <w:r>
        <w:t>Leviticus 22:29–30 — thanksgiving eaten the same day</w:t>
      </w:r>
    </w:p>
    <w:p>
      <w:pPr/>
      <w:r>
        <w:rPr>
          <w:i w:val="0"/>
        </w:rPr>
        <w:t>A thanksgiving sacrifice must be offered for acceptance and eaten that day, with nothing left until morning. Fellowship remains governed by Yahweh’s timing.</w:t>
      </w:r>
    </w:p>
    <w:p>
      <w:pPr>
        <w:pStyle w:val="Heading2"/>
      </w:pPr>
      <w:r>
        <w:t>Leviticus 22:31–33 — “I will be hallowed among the children of Israel”</w:t>
      </w:r>
    </w:p>
    <w:p>
      <w:pPr/>
      <w:r>
        <w:rPr>
          <w:i w:val="0"/>
        </w:rPr>
        <w:t>Israel must keep and do Yahweh’s commandments, not profane His holy Name, and hallow Him among the people. Redemption supplies the reason: “I am Yahweh which hallow you, that brought you out of the land of Egypt, to be your God.”</w:t>
      </w:r>
    </w:p>
    <w:p>
      <w:pPr>
        <w:pStyle w:val="Heading1"/>
      </w:pPr>
      <w:r>
        <w:t>CHRIST THE UNBLEMISHED OFFERING</w:t>
      </w:r>
    </w:p>
    <w:p>
      <w:pPr>
        <w:pStyle w:val="Heading2"/>
      </w:pPr>
      <w:r>
        <w:t>The controlling New Testament comparison</w:t>
      </w:r>
    </w:p>
    <w:p>
      <w:pPr/>
      <w:r>
        <w:rPr>
          <w:i w:val="0"/>
        </w:rPr>
        <w:t>First Peter 1:18–19 describes Christ as a lamb “without blemish and without spot,” and Hebrews 9:14 speaks of him offering himself without spot to God. These texts provide direct New Testament warrant for the broad unblemished-offering typology.</w:t>
      </w:r>
    </w:p>
    <w:p>
      <w:pPr>
        <w:pStyle w:val="Heading1"/>
      </w:pPr>
      <w:r>
        <w:t>PRINCIPAL THEMES</w:t>
      </w:r>
    </w:p>
    <w:p>
      <w:pPr>
        <w:ind w:left="259" w:hanging="202"/>
      </w:pPr>
      <w:r>
        <w:rPr>
          <w:b/>
        </w:rPr>
        <w:t xml:space="preserve">• </w:t>
      </w:r>
      <w:r>
        <w:t>Priestly privilege does not cancel the need for ceremonial cleanness.</w:t>
      </w:r>
    </w:p>
    <w:p>
      <w:pPr>
        <w:ind w:left="259" w:hanging="202"/>
      </w:pPr>
      <w:r>
        <w:rPr>
          <w:b/>
        </w:rPr>
        <w:t xml:space="preserve">• </w:t>
      </w:r>
      <w:r>
        <w:t>Holy food belongs to a defined priestly household and is not common property.</w:t>
      </w:r>
    </w:p>
    <w:p>
      <w:pPr>
        <w:ind w:left="259" w:hanging="202"/>
      </w:pPr>
      <w:r>
        <w:rPr>
          <w:b/>
        </w:rPr>
        <w:t xml:space="preserve">• </w:t>
      </w:r>
      <w:r>
        <w:t>Inadvertent misuse of holy food requires restitution plus one fifth.</w:t>
      </w:r>
    </w:p>
    <w:p>
      <w:pPr>
        <w:ind w:left="259" w:hanging="202"/>
      </w:pPr>
      <w:r>
        <w:rPr>
          <w:b/>
        </w:rPr>
        <w:t xml:space="preserve">• </w:t>
      </w:r>
      <w:r>
        <w:t>Leviticus 22:19 is better rendered “for your acceptance” than “at your own will.”</w:t>
      </w:r>
    </w:p>
    <w:p>
      <w:pPr>
        <w:ind w:left="259" w:hanging="202"/>
      </w:pPr>
      <w:r>
        <w:rPr>
          <w:b/>
        </w:rPr>
        <w:t xml:space="preserve">• </w:t>
      </w:r>
      <w:r>
        <w:t>Vow and freewill sacrifices are governed by Yahweh’s standards of acceptability.</w:t>
      </w:r>
    </w:p>
    <w:p>
      <w:pPr>
        <w:ind w:left="259" w:hanging="202"/>
      </w:pPr>
      <w:r>
        <w:rPr>
          <w:b/>
        </w:rPr>
        <w:t xml:space="preserve">• </w:t>
      </w:r>
      <w:r>
        <w:t>Verse 23 shows a limited distinction between freewill and vow offerings.</w:t>
      </w:r>
    </w:p>
    <w:p>
      <w:pPr>
        <w:ind w:left="259" w:hanging="202"/>
      </w:pPr>
      <w:r>
        <w:rPr>
          <w:b/>
        </w:rPr>
        <w:t xml:space="preserve">• </w:t>
      </w:r>
      <w:r>
        <w:t>Age and mother-young restrictions limit sacrificial use without the text explicitly stating a modern welfare theory.</w:t>
      </w:r>
    </w:p>
    <w:p>
      <w:pPr>
        <w:ind w:left="259" w:hanging="202"/>
      </w:pPr>
      <w:r>
        <w:rPr>
          <w:b/>
        </w:rPr>
        <w:t xml:space="preserve">• </w:t>
      </w:r>
      <w:r>
        <w:t>Redemption from Egypt grounds the command to hallow Yahweh’s Name.</w:t>
      </w:r>
    </w:p>
    <w:p>
      <w:pPr>
        <w:ind w:left="259" w:hanging="202"/>
      </w:pPr>
      <w:r>
        <w:rPr>
          <w:b/>
        </w:rPr>
        <w:t xml:space="preserve">• </w:t>
      </w:r>
      <w:r>
        <w:t>Christ is explicitly called an unblemished offering in the New Testament.</w:t>
      </w:r>
    </w:p>
    <w:p>
      <w:pPr>
        <w:pStyle w:val="Heading1"/>
      </w:pPr>
      <w:r>
        <w:t>EDITORIAL VERIFICATION AND RECOVERED READINGS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1"/>
        <w:gridCol w:w="3561"/>
        <w:gridCol w:w="3561"/>
      </w:tblGrid>
      <w:tr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Location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Checked / corrected reading</w:t>
            </w:r>
          </w:p>
        </w:tc>
        <w:tc>
          <w:tcPr>
            <w:tcW w:type="dxa" w:w="3561"/>
          </w:tcPr>
          <w:p>
            <w:r>
              <w:rPr>
                <w:rFonts w:ascii="Arial" w:hAnsi="Arial"/>
                <w:b/>
                <w:sz w:val="15"/>
              </w:rPr>
              <w:t>Basis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unclean priest separated from holy things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Office does not authorise presumptuous approach.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nephesh/dead-person context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Context concerns corpse/person uncleanness; do not detach from death.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22:6–7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wash + sunset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Temporary uncleanness ends after washing and evening.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22:10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zar / toshab / hired servant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Outsider / resident tenant / wage worker excluded from priestly holy food.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22:11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purchased/born household member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Ancient household status grants food access; not modern slavery endorsement.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22:13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widowed/divorced childless daughter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May return to father’s food entitlement.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22:14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add a fifth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20 percent restitution for inadvertent holy-food misuse.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22:19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lirtsonkem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For your acceptance / to be accepted for you.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blemished sacrifice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Not acceptable; compare Mal. 1:8,13–14.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long/short limb exception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Permitted for freewill offering, not vow.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reproductive injury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Crushed/bruised/torn/cut animals prohibited for altar.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22:27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eighth day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Young animal accepted from eighth day onward.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22:28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dam + young same day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Same-day slaughter forbidden.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22:29–30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thanksgiving timing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Must be eaten on day offered.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Lev. 22:32–33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hallow the Name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Redemption from Egypt is stated reason.</w:t>
            </w:r>
          </w:p>
        </w:tc>
      </w:tr>
      <w:tr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1 Pet. 1:19; Heb. 9:14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Christological fulfilment</w:t>
            </w:r>
          </w:p>
        </w:tc>
        <w:tc>
          <w:tcPr>
            <w:tcW w:type="dxa" w:w="3561"/>
            <w:vAlign w:val="top"/>
          </w:tcPr>
          <w:p>
            <w:pPr>
              <w:spacing w:after="0"/>
            </w:pPr>
            <w:r>
              <w:rPr>
                <w:rFonts w:ascii="Times New Roman" w:hAnsi="Times New Roman"/>
                <w:sz w:val="14"/>
              </w:rPr>
              <w:t>Explicit NT “without blemish/spot” language.</w:t>
            </w:r>
          </w:p>
        </w:tc>
      </w:tr>
    </w:tbl>
    <w:p>
      <w:pPr>
        <w:pStyle w:val="Heading1"/>
      </w:pPr>
      <w:r>
        <w:t>RESIDUAL UNCERTAINTIES</w:t>
      </w:r>
    </w:p>
    <w:p>
      <w:pPr/>
      <w:r>
        <w:rPr>
          <w:i w:val="0"/>
        </w:rPr>
        <w:t>Some animal-defect terms in verses 22–24 have anatomical nuance and should not be over-modernised. The motive behind the mother/young restrictions is not explicitly stated. The social categories of purchased servants belong to ancient Israelite household law and are described historically, not promoted normatively.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778" w:bottom="749" w:left="77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55555"/>
        <w:sz w:val="16"/>
      </w:rPr>
      <w:t>H. P. MANSFIELD BIBLE NOTES  •  LEVITICUS 22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3" w:line="240" w:lineRule="auto"/>
    </w:pPr>
    <w:rPr>
      <w:rFonts w:ascii="Times New Roman" w:hAnsi="Times New Roman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62" w:after="14"/>
      <w:outlineLvl w:val="0"/>
    </w:pPr>
    <w:rPr>
      <w:rFonts w:asciiTheme="majorHAnsi" w:eastAsiaTheme="majorEastAsia" w:hAnsiTheme="majorHAnsi" w:cstheme="majorBidi" w:ascii="Arial" w:hAnsi="Arial"/>
      <w:b/>
      <w:bCs/>
      <w:color w:val="2761A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" w:after="14"/>
      <w:outlineLvl w:val="1"/>
    </w:pPr>
    <w:rPr>
      <w:rFonts w:asciiTheme="majorHAnsi" w:eastAsiaTheme="majorEastAsia" w:hAnsiTheme="majorHAnsi" w:cstheme="majorBidi" w:ascii="Arial" w:hAnsi="Arial"/>
      <w:b/>
      <w:bCs/>
      <w:color w:val="2761A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4064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367ED2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