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24</w:t>
      </w:r>
    </w:p>
    <w:p>
      <w:pPr>
        <w:pStyle w:val="Subtitle"/>
      </w:pPr>
      <w:r>
        <w:t>CONTINUAL LIGHT • THE BREAD OF THE PRESENCE • TWELVE LOAVES BEFORE YAHWEH • THE BLASPHEMER • JUDGMENT SOUGHT BEFORE SENTENCE • LEX TALIONIS • ONE LAW FOR STRANGER AND NATIVE</w:t>
      </w:r>
    </w:p>
    <w:p>
      <w:pPr/>
      <w:r>
        <w:rPr>
          <w:i/>
        </w:rPr>
        <w:t>H. P. Mansfield Bible notes — checked and arranged in verse-by-verse Expositor style</w:t>
      </w:r>
    </w:p>
    <w:p>
      <w:pPr/>
      <w:r>
        <w:rPr>
          <w:i w:val="0"/>
        </w:rPr>
        <w:t>Source: HPB03 Leviticus 24 annotated pages; cross-checked with Mansfield Expositor Chapter 24</w:t>
      </w:r>
    </w:p>
    <w:p>
      <w:pPr>
        <w:pStyle w:val="Heading1"/>
      </w:pPr>
      <w:r>
        <w:t>CHAPTER OVERVIEW</w:t>
      </w:r>
    </w:p>
    <w:p>
      <w:pPr/>
      <w:r>
        <w:rPr>
          <w:i w:val="0"/>
        </w:rPr>
        <w:t>Leviticus 24 sets continual sanctuary service beside a narrative of deliberate profanation of Yahweh’s Name. Pure oil and the bread of the Presence keep light and Israel’s representative bread before Yahweh; the blasphemy case shows the gravity of treating that holy Name with contempt.</w:t>
      </w:r>
    </w:p>
    <w:p>
      <w:pPr/>
      <w:r>
        <w:rPr>
          <w:i w:val="0"/>
        </w:rPr>
        <w:t>The judicial section also guards against mob reaction: the offender is held until Yahweh’s ruling is made known, and the following “eye for eye” legislation belongs to ordered public justice under one law for native and resident stranger.</w:t>
      </w:r>
    </w:p>
    <w:p>
      <w:pPr>
        <w:pStyle w:val="Heading1"/>
      </w:pPr>
      <w:r>
        <w:t>PURE OIL AND CONTINUAL LIGHT — LEVITICUS 24:1–4</w:t>
      </w:r>
    </w:p>
    <w:p>
      <w:pPr>
        <w:pStyle w:val="Heading2"/>
      </w:pPr>
      <w:r>
        <w:t>Leviticus 24:1–2 — beaten olive oil for the lamp</w:t>
      </w:r>
    </w:p>
    <w:p>
      <w:pPr/>
      <w:r>
        <w:rPr>
          <w:i w:val="0"/>
        </w:rPr>
        <w:t>Israel supplies shemen zayit zakh kathith, pure beaten olive oil, for the ma’or, lamp/light, so that the lamps may be caused to ascend/burn continually.</w:t>
      </w:r>
    </w:p>
    <w:p>
      <w:pPr/>
      <w:r>
        <w:rPr>
          <w:i w:val="0"/>
        </w:rPr>
        <w:t>“Continually” must be read with verse 3 and Exodus 27:21: Aaron tends the light from evening to morning according to the appointed order. It does not require the claim that every individual flame necessarily burned twenty-four hours without interruption.</w:t>
      </w:r>
    </w:p>
    <w:p>
      <w:pPr>
        <w:pStyle w:val="Heading2"/>
      </w:pPr>
      <w:r>
        <w:t>Leviticus 24:3–4 — outside the veil, before Yahweh</w:t>
      </w:r>
    </w:p>
    <w:p>
      <w:pPr/>
      <w:r>
        <w:rPr>
          <w:i w:val="0"/>
        </w:rPr>
        <w:t>Aaron arranges/tends the lamps outside the veil of the testimony on the pure menorah/lampstand. KJV “candlestick” is traditional English, but the sanctuary object is an oil-lamp stand, not a wax-candle holder.</w:t>
      </w:r>
    </w:p>
    <w:p>
      <w:pPr/>
      <w:r>
        <w:rPr>
          <w:i w:val="0"/>
        </w:rPr>
        <w:t>Mansfield’s light-as-witness application is broad typology consistent with Psalm 119:105 and Matthew 5:14–16, but the literal duty is priestly maintenance of the sanctuary light.</w:t>
      </w:r>
    </w:p>
    <w:p>
      <w:pPr>
        <w:pStyle w:val="Heading1"/>
      </w:pPr>
      <w:r>
        <w:t>THE BREAD OF THE PRESENCE — LEVITICUS 24:5–9</w:t>
      </w:r>
    </w:p>
    <w:p>
      <w:pPr>
        <w:pStyle w:val="Heading2"/>
      </w:pPr>
      <w:r>
        <w:t>Leviticus 24:5–6 — twelve large loaves in two rows</w:t>
      </w:r>
    </w:p>
    <w:p>
      <w:pPr/>
      <w:r>
        <w:rPr>
          <w:i w:val="0"/>
        </w:rPr>
        <w:t>Twelve cakes/loaves are baked from fine flour, each containing two-tenths of an ephah, and placed in two rows/piles on the pure table before Yahweh.</w:t>
      </w:r>
    </w:p>
    <w:p>
      <w:pPr/>
      <w:r>
        <w:rPr>
          <w:i w:val="0"/>
        </w:rPr>
        <w:t>The twelve naturally represent Israel’s twelve-tribe people before God. Numerical elaborations beyond that should remain typological rather than lexical.</w:t>
      </w:r>
    </w:p>
    <w:p>
      <w:pPr>
        <w:pStyle w:val="Heading2"/>
      </w:pPr>
      <w:r>
        <w:t>Leviticus 24:7 — pure frankincense as memorial</w:t>
      </w:r>
    </w:p>
    <w:p>
      <w:pPr/>
      <w:r>
        <w:rPr>
          <w:i w:val="0"/>
        </w:rPr>
        <w:t>Pure frankincense is placed with/on the rows as an ’azkarah, memorial portion, an offering made by fire to Yahweh. The incense belongs to the memorial altar action rather than implying that the bread itself is burned.</w:t>
      </w:r>
    </w:p>
    <w:p>
      <w:pPr>
        <w:pStyle w:val="Heading2"/>
      </w:pPr>
      <w:r>
        <w:t>Leviticus 24:8–9 — renewed every Sabbath; eaten by priests</w:t>
      </w:r>
    </w:p>
    <w:p>
      <w:pPr/>
      <w:r>
        <w:rPr>
          <w:i w:val="0"/>
        </w:rPr>
        <w:t>Every Sabbath the bread is set in order before Yahweh continually, supplied by Israel as an everlasting covenant obligation. The removed bread belongs to Aaron and sons and is eaten in a holy place because it is most holy.</w:t>
      </w:r>
    </w:p>
    <w:p>
      <w:pPr/>
      <w:r>
        <w:rPr>
          <w:i w:val="0"/>
        </w:rPr>
        <w:t>The usual biblical title “bread of the Presence” (lechem panim, compare Exodus 25:30) captures the idea of bread continually before Yahweh better than treating “shewbread” as a mysterious separate substance.</w:t>
      </w:r>
    </w:p>
    <w:p>
      <w:pPr>
        <w:pStyle w:val="Heading1"/>
      </w:pPr>
      <w:r>
        <w:t>THE BLASPHEMER — LEVITICUS 24:10–16</w:t>
      </w:r>
    </w:p>
    <w:p>
      <w:pPr>
        <w:pStyle w:val="Heading2"/>
      </w:pPr>
      <w:r>
        <w:t>Leviticus 24:10–12 — fight, curse, custody</w:t>
      </w:r>
    </w:p>
    <w:p>
      <w:pPr/>
      <w:r>
        <w:rPr>
          <w:i w:val="0"/>
        </w:rPr>
        <w:t>The son of Shelomith, an Israelite woman, and an Egyptian father quarrels with an Israelite and blasphemes/curses the Name. He is placed in custody so that Yahweh’s judgment can be made clear.</w:t>
      </w:r>
    </w:p>
    <w:p>
      <w:pPr/>
      <w:r>
        <w:rPr>
          <w:i w:val="0"/>
        </w:rPr>
        <w:t>The verb naqav in this context is difficult: it can involve naming/pronouncing and here is joined with cursing. The secure offence is deliberate cursing/profanation of the Divine Name, not merely saying the pronunciation aloud.</w:t>
      </w:r>
    </w:p>
    <w:p>
      <w:pPr>
        <w:pStyle w:val="Heading2"/>
      </w:pPr>
      <w:r>
        <w:t>Leviticus 24:13–16 — witnesses, outside camp, national penalty</w:t>
      </w:r>
    </w:p>
    <w:p>
      <w:pPr/>
      <w:r>
        <w:rPr>
          <w:i w:val="0"/>
        </w:rPr>
        <w:t>Those who heard lay their hands upon his head and the congregation carries out the Mosaic death penalty outside the camp. The laying-on of hands publicly identifies the witnesses and offender with the adjudicated case; the text does not require a theory of guilt being physically transferred like a substance.</w:t>
      </w:r>
    </w:p>
    <w:p>
      <w:pPr/>
      <w:r>
        <w:rPr>
          <w:i w:val="0"/>
        </w:rPr>
        <w:t>The law is equal for ger and native-born. This was a civil penalty under Israel’s covenant nation and does not authorise private or modern religious violence.</w:t>
      </w:r>
    </w:p>
    <w:p>
      <w:pPr>
        <w:pStyle w:val="Heading1"/>
      </w:pPr>
      <w:r>
        <w:t>PROPORTIONAL JUSTICE — LEVITICUS 24:17–22</w:t>
      </w:r>
    </w:p>
    <w:p>
      <w:pPr>
        <w:pStyle w:val="Heading2"/>
      </w:pPr>
      <w:r>
        <w:t>Leviticus 24:17–18 — human life and animal restitution distinguished</w:t>
      </w:r>
    </w:p>
    <w:p>
      <w:pPr/>
      <w:r>
        <w:rPr>
          <w:i w:val="0"/>
        </w:rPr>
        <w:t>One who kills a human being is subject to the stated life-for-life judgment; one who kills another’s animal must make restitution, “life for life” in the sense of replacement/value.</w:t>
      </w:r>
    </w:p>
    <w:p>
      <w:pPr>
        <w:pStyle w:val="Heading2"/>
      </w:pPr>
      <w:r>
        <w:t>Leviticus 24:19–20 — fracture for fracture, eye for eye, tooth for tooth</w:t>
      </w:r>
    </w:p>
    <w:p>
      <w:pPr/>
      <w:r>
        <w:rPr>
          <w:i w:val="0"/>
        </w:rPr>
        <w:t>Lex talionis establishes proportional public justice: the penalty must correspond to the injury rather than escalate into clan vengeance.</w:t>
      </w:r>
    </w:p>
    <w:p>
      <w:pPr/>
      <w:r>
        <w:rPr>
          <w:i w:val="0"/>
        </w:rPr>
        <w:t>The passage does not command private retaliation. Matthew 5:38–42 explicitly addresses disciples tempted to use “eye for eye” as a personal retaliation principle and calls them beyond vengeance.</w:t>
      </w:r>
    </w:p>
    <w:p>
      <w:pPr>
        <w:pStyle w:val="Heading2"/>
      </w:pPr>
      <w:r>
        <w:t>Leviticus 24:21–22 — one law for all under Israel’s jurisdiction</w:t>
      </w:r>
    </w:p>
    <w:p>
      <w:pPr/>
      <w:r>
        <w:rPr>
          <w:i w:val="0"/>
        </w:rPr>
        <w:t>Animal loss receives restitution; killing a person receives the national penalty. “Ye shall have one manner of law” for resident stranger and native-born because Yahweh is Israel’s God.</w:t>
      </w:r>
    </w:p>
    <w:p>
      <w:pPr/>
      <w:r>
        <w:rPr>
          <w:i w:val="0"/>
        </w:rPr>
        <w:t>Equality before the court is part of holiness.</w:t>
      </w:r>
    </w:p>
    <w:p>
      <w:pPr>
        <w:pStyle w:val="Heading1"/>
      </w:pPr>
      <w:r>
        <w:t>THE SENTENCE CARRIED OUT — LEVITICUS 24:23</w:t>
      </w:r>
    </w:p>
    <w:p>
      <w:pPr>
        <w:pStyle w:val="Heading2"/>
      </w:pPr>
      <w:r>
        <w:t>Leviticus 24:23 — judgment follows revelation, not rage</w:t>
      </w:r>
    </w:p>
    <w:p>
      <w:pPr/>
      <w:r>
        <w:rPr>
          <w:i w:val="0"/>
        </w:rPr>
        <w:t>Moses communicates Yahweh’s ruling, the offender is taken outside the camp, and Israel carries out the national sentence.</w:t>
      </w:r>
    </w:p>
    <w:p>
      <w:pPr/>
      <w:r>
        <w:rPr>
          <w:i w:val="0"/>
        </w:rPr>
        <w:t>The narrative order matters: detention, revelation, public legal rule and then execution. It is not a portrait of spontaneous mob punishment.</w:t>
      </w:r>
    </w:p>
    <w:p>
      <w:pPr>
        <w:pStyle w:val="Heading1"/>
      </w:pPr>
      <w:r>
        <w:t>LIGHT, BREAD AND THE NAME</w:t>
      </w:r>
    </w:p>
    <w:p>
      <w:pPr>
        <w:pStyle w:val="Heading2"/>
      </w:pPr>
      <w:r>
        <w:t>A chapter held together by holiness</w:t>
      </w:r>
    </w:p>
    <w:p>
      <w:pPr/>
      <w:r>
        <w:rPr>
          <w:i w:val="0"/>
        </w:rPr>
        <w:t>The continual light and bread display ordered service before Yahweh; the blasphemer treats the same holy Name as common and contemptible. Mansfield’s contrast is therefore structurally strong: holiness must be maintained both in sanctuary service and in speech/conduct.</w:t>
      </w:r>
    </w:p>
    <w:p>
      <w:pPr>
        <w:pStyle w:val="Heading1"/>
      </w:pPr>
      <w:r>
        <w:t>PRINCIPAL THEMES</w:t>
      </w:r>
    </w:p>
    <w:p>
      <w:pPr>
        <w:ind w:left="259" w:hanging="202"/>
      </w:pPr>
      <w:r>
        <w:rPr>
          <w:b/>
        </w:rPr>
        <w:t xml:space="preserve">• </w:t>
      </w:r>
      <w:r>
        <w:t>Pure oil and faithful priestly tending maintain the sanctuary light.</w:t>
      </w:r>
    </w:p>
    <w:p>
      <w:pPr>
        <w:ind w:left="259" w:hanging="202"/>
      </w:pPr>
      <w:r>
        <w:rPr>
          <w:b/>
        </w:rPr>
        <w:t xml:space="preserve">• </w:t>
      </w:r>
      <w:r>
        <w:t>“Candlestick” is traditional KJV language; the object is an oil-lamp stand/menorah.</w:t>
      </w:r>
    </w:p>
    <w:p>
      <w:pPr>
        <w:ind w:left="259" w:hanging="202"/>
      </w:pPr>
      <w:r>
        <w:rPr>
          <w:b/>
        </w:rPr>
        <w:t xml:space="preserve">• </w:t>
      </w:r>
      <w:r>
        <w:t>Twelve loaves continually represent Israel before Yahweh on the table.</w:t>
      </w:r>
    </w:p>
    <w:p>
      <w:pPr>
        <w:ind w:left="259" w:hanging="202"/>
      </w:pPr>
      <w:r>
        <w:rPr>
          <w:b/>
        </w:rPr>
        <w:t xml:space="preserve">• </w:t>
      </w:r>
      <w:r>
        <w:t>The frankincense is a memorial altar portion associated with the bread.</w:t>
      </w:r>
    </w:p>
    <w:p>
      <w:pPr>
        <w:ind w:left="259" w:hanging="202"/>
      </w:pPr>
      <w:r>
        <w:rPr>
          <w:b/>
        </w:rPr>
        <w:t xml:space="preserve">• </w:t>
      </w:r>
      <w:r>
        <w:t>Naqav in the blasphemy narrative is lexically nuanced; the clear offence is cursing/profaning the Name.</w:t>
      </w:r>
    </w:p>
    <w:p>
      <w:pPr>
        <w:ind w:left="259" w:hanging="202"/>
      </w:pPr>
      <w:r>
        <w:rPr>
          <w:b/>
        </w:rPr>
        <w:t xml:space="preserve">• </w:t>
      </w:r>
      <w:r>
        <w:t>The offender is held until Yahweh’s judgment is known, guarding against impulsive punishment.</w:t>
      </w:r>
    </w:p>
    <w:p>
      <w:pPr>
        <w:ind w:left="259" w:hanging="202"/>
      </w:pPr>
      <w:r>
        <w:rPr>
          <w:b/>
        </w:rPr>
        <w:t xml:space="preserve">• </w:t>
      </w:r>
      <w:r>
        <w:t>Witness hand-laying publicly identifies the adjudicated case without requiring a mechanical transfer theory.</w:t>
      </w:r>
    </w:p>
    <w:p>
      <w:pPr>
        <w:ind w:left="259" w:hanging="202"/>
      </w:pPr>
      <w:r>
        <w:rPr>
          <w:b/>
        </w:rPr>
        <w:t xml:space="preserve">• </w:t>
      </w:r>
      <w:r>
        <w:t>“Eye for eye” is a judicial proportionality principle, not personal revenge.</w:t>
      </w:r>
    </w:p>
    <w:p>
      <w:pPr>
        <w:ind w:left="259" w:hanging="202"/>
      </w:pPr>
      <w:r>
        <w:rPr>
          <w:b/>
        </w:rPr>
        <w:t xml:space="preserve">• </w:t>
      </w:r>
      <w:r>
        <w:t>Native and resident stranger stand under one public law.</w:t>
      </w:r>
    </w:p>
    <w:p>
      <w:pPr>
        <w:ind w:left="259" w:hanging="202"/>
      </w:pPr>
      <w:r>
        <w:rPr>
          <w:b/>
        </w:rPr>
        <w:t xml:space="preserve">• </w:t>
      </w:r>
      <w:r>
        <w:t>Israel’s capital penalty for blasphemy is historical covenant law, not authority for modern private violence.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Lev. 24:2</w:t>
            </w:r>
          </w:p>
        </w:tc>
        <w:tc>
          <w:tcPr>
            <w:tcW w:type="dxa" w:w="3561"/>
            <w:vAlign w:val="top"/>
          </w:tcPr>
          <w:p>
            <w:pPr>
              <w:spacing w:after="0"/>
            </w:pPr>
            <w:r>
              <w:rPr>
                <w:rFonts w:ascii="Times New Roman" w:hAnsi="Times New Roman"/>
                <w:sz w:val="14"/>
              </w:rPr>
              <w:t>pure beaten olive oil</w:t>
            </w:r>
          </w:p>
        </w:tc>
        <w:tc>
          <w:tcPr>
            <w:tcW w:type="dxa" w:w="3561"/>
            <w:vAlign w:val="top"/>
          </w:tcPr>
          <w:p>
            <w:pPr>
              <w:spacing w:after="0"/>
            </w:pPr>
            <w:r>
              <w:rPr>
                <w:rFonts w:ascii="Times New Roman" w:hAnsi="Times New Roman"/>
                <w:sz w:val="14"/>
              </w:rPr>
              <w:t>High-quality oil supplied for sanctuary lamp.</w:t>
            </w:r>
          </w:p>
        </w:tc>
      </w:tr>
      <w:tr>
        <w:tc>
          <w:tcPr>
            <w:tcW w:type="dxa" w:w="3561"/>
            <w:vAlign w:val="top"/>
          </w:tcPr>
          <w:p>
            <w:pPr>
              <w:spacing w:after="0"/>
            </w:pPr>
            <w:r>
              <w:rPr>
                <w:rFonts w:ascii="Times New Roman" w:hAnsi="Times New Roman"/>
                <w:sz w:val="14"/>
              </w:rPr>
              <w:t>Lev. 24:2–3</w:t>
            </w:r>
          </w:p>
        </w:tc>
        <w:tc>
          <w:tcPr>
            <w:tcW w:type="dxa" w:w="3561"/>
            <w:vAlign w:val="top"/>
          </w:tcPr>
          <w:p>
            <w:pPr>
              <w:spacing w:after="0"/>
            </w:pPr>
            <w:r>
              <w:rPr>
                <w:rFonts w:ascii="Times New Roman" w:hAnsi="Times New Roman"/>
                <w:sz w:val="14"/>
              </w:rPr>
              <w:t>continually / evening to morning</w:t>
            </w:r>
          </w:p>
        </w:tc>
        <w:tc>
          <w:tcPr>
            <w:tcW w:type="dxa" w:w="3561"/>
            <w:vAlign w:val="top"/>
          </w:tcPr>
          <w:p>
            <w:pPr>
              <w:spacing w:after="0"/>
            </w:pPr>
            <w:r>
              <w:rPr>
                <w:rFonts w:ascii="Times New Roman" w:hAnsi="Times New Roman"/>
                <w:sz w:val="14"/>
              </w:rPr>
              <w:t>Regular continual service; not necessarily every flame burning 24/7.</w:t>
            </w:r>
          </w:p>
        </w:tc>
      </w:tr>
      <w:tr>
        <w:tc>
          <w:tcPr>
            <w:tcW w:type="dxa" w:w="3561"/>
            <w:vAlign w:val="top"/>
          </w:tcPr>
          <w:p>
            <w:pPr>
              <w:spacing w:after="0"/>
            </w:pPr>
            <w:r>
              <w:rPr>
                <w:rFonts w:ascii="Times New Roman" w:hAnsi="Times New Roman"/>
                <w:sz w:val="14"/>
              </w:rPr>
              <w:t>Lev. 24:4</w:t>
            </w:r>
          </w:p>
        </w:tc>
        <w:tc>
          <w:tcPr>
            <w:tcW w:type="dxa" w:w="3561"/>
            <w:vAlign w:val="top"/>
          </w:tcPr>
          <w:p>
            <w:pPr>
              <w:spacing w:after="0"/>
            </w:pPr>
            <w:r>
              <w:rPr>
                <w:rFonts w:ascii="Times New Roman" w:hAnsi="Times New Roman"/>
                <w:sz w:val="14"/>
              </w:rPr>
              <w:t>menorah/lampstand</w:t>
            </w:r>
          </w:p>
        </w:tc>
        <w:tc>
          <w:tcPr>
            <w:tcW w:type="dxa" w:w="3561"/>
            <w:vAlign w:val="top"/>
          </w:tcPr>
          <w:p>
            <w:pPr>
              <w:spacing w:after="0"/>
            </w:pPr>
            <w:r>
              <w:rPr>
                <w:rFonts w:ascii="Times New Roman" w:hAnsi="Times New Roman"/>
                <w:sz w:val="14"/>
              </w:rPr>
              <w:t>KJV “candlestick” is traditional but not a candle holder.</w:t>
            </w:r>
          </w:p>
        </w:tc>
      </w:tr>
      <w:tr>
        <w:tc>
          <w:tcPr>
            <w:tcW w:type="dxa" w:w="3561"/>
            <w:vAlign w:val="top"/>
          </w:tcPr>
          <w:p>
            <w:pPr>
              <w:spacing w:after="0"/>
            </w:pPr>
            <w:r>
              <w:rPr>
                <w:rFonts w:ascii="Times New Roman" w:hAnsi="Times New Roman"/>
                <w:sz w:val="14"/>
              </w:rPr>
              <w:t>Lev. 24:5</w:t>
            </w:r>
          </w:p>
        </w:tc>
        <w:tc>
          <w:tcPr>
            <w:tcW w:type="dxa" w:w="3561"/>
            <w:vAlign w:val="top"/>
          </w:tcPr>
          <w:p>
            <w:pPr>
              <w:spacing w:after="0"/>
            </w:pPr>
            <w:r>
              <w:rPr>
                <w:rFonts w:ascii="Times New Roman" w:hAnsi="Times New Roman"/>
                <w:sz w:val="14"/>
              </w:rPr>
              <w:t>two-tenths ephah per loaf</w:t>
            </w:r>
          </w:p>
        </w:tc>
        <w:tc>
          <w:tcPr>
            <w:tcW w:type="dxa" w:w="3561"/>
            <w:vAlign w:val="top"/>
          </w:tcPr>
          <w:p>
            <w:pPr>
              <w:spacing w:after="0"/>
            </w:pPr>
            <w:r>
              <w:rPr>
                <w:rFonts w:ascii="Times New Roman" w:hAnsi="Times New Roman"/>
                <w:sz w:val="14"/>
              </w:rPr>
              <w:t>Twelve substantial fine-flour loaves.</w:t>
            </w:r>
          </w:p>
        </w:tc>
      </w:tr>
      <w:tr>
        <w:tc>
          <w:tcPr>
            <w:tcW w:type="dxa" w:w="3561"/>
            <w:vAlign w:val="top"/>
          </w:tcPr>
          <w:p>
            <w:pPr>
              <w:spacing w:after="0"/>
            </w:pPr>
            <w:r>
              <w:rPr>
                <w:rFonts w:ascii="Times New Roman" w:hAnsi="Times New Roman"/>
                <w:sz w:val="14"/>
              </w:rPr>
              <w:t>Lev. 24:6</w:t>
            </w:r>
          </w:p>
        </w:tc>
        <w:tc>
          <w:tcPr>
            <w:tcW w:type="dxa" w:w="3561"/>
            <w:vAlign w:val="top"/>
          </w:tcPr>
          <w:p>
            <w:pPr>
              <w:spacing w:after="0"/>
            </w:pPr>
            <w:r>
              <w:rPr>
                <w:rFonts w:ascii="Times New Roman" w:hAnsi="Times New Roman"/>
                <w:sz w:val="14"/>
              </w:rPr>
              <w:t>two rows/piles</w:t>
            </w:r>
          </w:p>
        </w:tc>
        <w:tc>
          <w:tcPr>
            <w:tcW w:type="dxa" w:w="3561"/>
            <w:vAlign w:val="top"/>
          </w:tcPr>
          <w:p>
            <w:pPr>
              <w:spacing w:after="0"/>
            </w:pPr>
            <w:r>
              <w:rPr>
                <w:rFonts w:ascii="Times New Roman" w:hAnsi="Times New Roman"/>
                <w:sz w:val="14"/>
              </w:rPr>
              <w:t>Twelve arranged before Yahweh on pure table.</w:t>
            </w:r>
          </w:p>
        </w:tc>
      </w:tr>
      <w:tr>
        <w:tc>
          <w:tcPr>
            <w:tcW w:type="dxa" w:w="3561"/>
            <w:vAlign w:val="top"/>
          </w:tcPr>
          <w:p>
            <w:pPr>
              <w:spacing w:after="0"/>
            </w:pPr>
            <w:r>
              <w:rPr>
                <w:rFonts w:ascii="Times New Roman" w:hAnsi="Times New Roman"/>
                <w:sz w:val="14"/>
              </w:rPr>
              <w:t>Lev. 24:7</w:t>
            </w:r>
          </w:p>
        </w:tc>
        <w:tc>
          <w:tcPr>
            <w:tcW w:type="dxa" w:w="3561"/>
            <w:vAlign w:val="top"/>
          </w:tcPr>
          <w:p>
            <w:pPr>
              <w:spacing w:after="0"/>
            </w:pPr>
            <w:r>
              <w:rPr>
                <w:rFonts w:ascii="Times New Roman" w:hAnsi="Times New Roman"/>
                <w:sz w:val="14"/>
              </w:rPr>
              <w:t>’azkarah</w:t>
            </w:r>
          </w:p>
        </w:tc>
        <w:tc>
          <w:tcPr>
            <w:tcW w:type="dxa" w:w="3561"/>
            <w:vAlign w:val="top"/>
          </w:tcPr>
          <w:p>
            <w:pPr>
              <w:spacing w:after="0"/>
            </w:pPr>
            <w:r>
              <w:rPr>
                <w:rFonts w:ascii="Times New Roman" w:hAnsi="Times New Roman"/>
                <w:sz w:val="14"/>
              </w:rPr>
              <w:t>Memorial portion; frankincense associated with altar offering.</w:t>
            </w:r>
          </w:p>
        </w:tc>
      </w:tr>
      <w:tr>
        <w:tc>
          <w:tcPr>
            <w:tcW w:type="dxa" w:w="3561"/>
            <w:vAlign w:val="top"/>
          </w:tcPr>
          <w:p>
            <w:pPr>
              <w:spacing w:after="0"/>
            </w:pPr>
            <w:r>
              <w:rPr>
                <w:rFonts w:ascii="Times New Roman" w:hAnsi="Times New Roman"/>
                <w:sz w:val="14"/>
              </w:rPr>
              <w:t>Lev. 24:8–9</w:t>
            </w:r>
          </w:p>
        </w:tc>
        <w:tc>
          <w:tcPr>
            <w:tcW w:type="dxa" w:w="3561"/>
            <w:vAlign w:val="top"/>
          </w:tcPr>
          <w:p>
            <w:pPr>
              <w:spacing w:after="0"/>
            </w:pPr>
            <w:r>
              <w:rPr>
                <w:rFonts w:ascii="Times New Roman" w:hAnsi="Times New Roman"/>
                <w:sz w:val="14"/>
              </w:rPr>
              <w:t>Sabbath renewal / priestly eating</w:t>
            </w:r>
          </w:p>
        </w:tc>
        <w:tc>
          <w:tcPr>
            <w:tcW w:type="dxa" w:w="3561"/>
            <w:vAlign w:val="top"/>
          </w:tcPr>
          <w:p>
            <w:pPr>
              <w:spacing w:after="0"/>
            </w:pPr>
            <w:r>
              <w:rPr>
                <w:rFonts w:ascii="Times New Roman" w:hAnsi="Times New Roman"/>
                <w:sz w:val="14"/>
              </w:rPr>
              <w:t>Bread renewed regularly; removed bread most holy for Aaronic priests.</w:t>
            </w:r>
          </w:p>
        </w:tc>
      </w:tr>
      <w:tr>
        <w:tc>
          <w:tcPr>
            <w:tcW w:type="dxa" w:w="3561"/>
            <w:vAlign w:val="top"/>
          </w:tcPr>
          <w:p>
            <w:pPr>
              <w:spacing w:after="0"/>
            </w:pPr>
            <w:r>
              <w:rPr>
                <w:rFonts w:ascii="Times New Roman" w:hAnsi="Times New Roman"/>
                <w:sz w:val="14"/>
              </w:rPr>
              <w:t>Ex. 25:30</w:t>
            </w:r>
          </w:p>
        </w:tc>
        <w:tc>
          <w:tcPr>
            <w:tcW w:type="dxa" w:w="3561"/>
            <w:vAlign w:val="top"/>
          </w:tcPr>
          <w:p>
            <w:pPr>
              <w:spacing w:after="0"/>
            </w:pPr>
            <w:r>
              <w:rPr>
                <w:rFonts w:ascii="Times New Roman" w:hAnsi="Times New Roman"/>
                <w:sz w:val="14"/>
              </w:rPr>
              <w:t>lechem panim</w:t>
            </w:r>
          </w:p>
        </w:tc>
        <w:tc>
          <w:tcPr>
            <w:tcW w:type="dxa" w:w="3561"/>
            <w:vAlign w:val="top"/>
          </w:tcPr>
          <w:p>
            <w:pPr>
              <w:spacing w:after="0"/>
            </w:pPr>
            <w:r>
              <w:rPr>
                <w:rFonts w:ascii="Times New Roman" w:hAnsi="Times New Roman"/>
                <w:sz w:val="14"/>
              </w:rPr>
              <w:t>Bread of the Presence, traditional “shewbread.”</w:t>
            </w:r>
          </w:p>
        </w:tc>
      </w:tr>
      <w:tr>
        <w:tc>
          <w:tcPr>
            <w:tcW w:type="dxa" w:w="3561"/>
            <w:vAlign w:val="top"/>
          </w:tcPr>
          <w:p>
            <w:pPr>
              <w:spacing w:after="0"/>
            </w:pPr>
            <w:r>
              <w:rPr>
                <w:rFonts w:ascii="Times New Roman" w:hAnsi="Times New Roman"/>
                <w:sz w:val="14"/>
              </w:rPr>
              <w:t>Lev. 24:10–11</w:t>
            </w:r>
          </w:p>
        </w:tc>
        <w:tc>
          <w:tcPr>
            <w:tcW w:type="dxa" w:w="3561"/>
            <w:vAlign w:val="top"/>
          </w:tcPr>
          <w:p>
            <w:pPr>
              <w:spacing w:after="0"/>
            </w:pPr>
            <w:r>
              <w:rPr>
                <w:rFonts w:ascii="Times New Roman" w:hAnsi="Times New Roman"/>
                <w:sz w:val="14"/>
              </w:rPr>
              <w:t>naqav + curse</w:t>
            </w:r>
          </w:p>
        </w:tc>
        <w:tc>
          <w:tcPr>
            <w:tcW w:type="dxa" w:w="3561"/>
            <w:vAlign w:val="top"/>
          </w:tcPr>
          <w:p>
            <w:pPr>
              <w:spacing w:after="0"/>
            </w:pPr>
            <w:r>
              <w:rPr>
                <w:rFonts w:ascii="Times New Roman" w:hAnsi="Times New Roman"/>
                <w:sz w:val="14"/>
              </w:rPr>
              <w:t>Offence is deliberate blasphemy/cursing; not mere pronunciation of the Name.</w:t>
            </w:r>
          </w:p>
        </w:tc>
      </w:tr>
      <w:tr>
        <w:tc>
          <w:tcPr>
            <w:tcW w:type="dxa" w:w="3561"/>
            <w:vAlign w:val="top"/>
          </w:tcPr>
          <w:p>
            <w:pPr>
              <w:spacing w:after="0"/>
            </w:pPr>
            <w:r>
              <w:rPr>
                <w:rFonts w:ascii="Times New Roman" w:hAnsi="Times New Roman"/>
                <w:sz w:val="14"/>
              </w:rPr>
              <w:t>Lev. 24:12</w:t>
            </w:r>
          </w:p>
        </w:tc>
        <w:tc>
          <w:tcPr>
            <w:tcW w:type="dxa" w:w="3561"/>
            <w:vAlign w:val="top"/>
          </w:tcPr>
          <w:p>
            <w:pPr>
              <w:spacing w:after="0"/>
            </w:pPr>
            <w:r>
              <w:rPr>
                <w:rFonts w:ascii="Times New Roman" w:hAnsi="Times New Roman"/>
                <w:sz w:val="14"/>
              </w:rPr>
              <w:t>custody</w:t>
            </w:r>
          </w:p>
        </w:tc>
        <w:tc>
          <w:tcPr>
            <w:tcW w:type="dxa" w:w="3561"/>
            <w:vAlign w:val="top"/>
          </w:tcPr>
          <w:p>
            <w:pPr>
              <w:spacing w:after="0"/>
            </w:pPr>
            <w:r>
              <w:rPr>
                <w:rFonts w:ascii="Times New Roman" w:hAnsi="Times New Roman"/>
                <w:sz w:val="14"/>
              </w:rPr>
              <w:t>Sentence withheld until Yahweh’s ruling known.</w:t>
            </w:r>
          </w:p>
        </w:tc>
      </w:tr>
      <w:tr>
        <w:tc>
          <w:tcPr>
            <w:tcW w:type="dxa" w:w="3561"/>
            <w:vAlign w:val="top"/>
          </w:tcPr>
          <w:p>
            <w:pPr>
              <w:spacing w:after="0"/>
            </w:pPr>
            <w:r>
              <w:rPr>
                <w:rFonts w:ascii="Times New Roman" w:hAnsi="Times New Roman"/>
                <w:sz w:val="14"/>
              </w:rPr>
              <w:t>Lev. 24:14</w:t>
            </w:r>
          </w:p>
        </w:tc>
        <w:tc>
          <w:tcPr>
            <w:tcW w:type="dxa" w:w="3561"/>
            <w:vAlign w:val="top"/>
          </w:tcPr>
          <w:p>
            <w:pPr>
              <w:spacing w:after="0"/>
            </w:pPr>
            <w:r>
              <w:rPr>
                <w:rFonts w:ascii="Times New Roman" w:hAnsi="Times New Roman"/>
                <w:sz w:val="14"/>
              </w:rPr>
              <w:t>witnesses lay hands</w:t>
            </w:r>
          </w:p>
        </w:tc>
        <w:tc>
          <w:tcPr>
            <w:tcW w:type="dxa" w:w="3561"/>
            <w:vAlign w:val="top"/>
          </w:tcPr>
          <w:p>
            <w:pPr>
              <w:spacing w:after="0"/>
            </w:pPr>
            <w:r>
              <w:rPr>
                <w:rFonts w:ascii="Times New Roman" w:hAnsi="Times New Roman"/>
                <w:sz w:val="14"/>
              </w:rPr>
              <w:t>Public identification/responsibility in judicial case.</w:t>
            </w:r>
          </w:p>
        </w:tc>
      </w:tr>
      <w:tr>
        <w:tc>
          <w:tcPr>
            <w:tcW w:type="dxa" w:w="3561"/>
            <w:vAlign w:val="top"/>
          </w:tcPr>
          <w:p>
            <w:pPr>
              <w:spacing w:after="0"/>
            </w:pPr>
            <w:r>
              <w:rPr>
                <w:rFonts w:ascii="Times New Roman" w:hAnsi="Times New Roman"/>
                <w:sz w:val="14"/>
              </w:rPr>
              <w:t>Lev. 24:16</w:t>
            </w:r>
          </w:p>
        </w:tc>
        <w:tc>
          <w:tcPr>
            <w:tcW w:type="dxa" w:w="3561"/>
            <w:vAlign w:val="top"/>
          </w:tcPr>
          <w:p>
            <w:pPr>
              <w:spacing w:after="0"/>
            </w:pPr>
            <w:r>
              <w:rPr>
                <w:rFonts w:ascii="Times New Roman" w:hAnsi="Times New Roman"/>
                <w:sz w:val="14"/>
              </w:rPr>
              <w:t>ger + native</w:t>
            </w:r>
          </w:p>
        </w:tc>
        <w:tc>
          <w:tcPr>
            <w:tcW w:type="dxa" w:w="3561"/>
            <w:vAlign w:val="top"/>
          </w:tcPr>
          <w:p>
            <w:pPr>
              <w:spacing w:after="0"/>
            </w:pPr>
            <w:r>
              <w:rPr>
                <w:rFonts w:ascii="Times New Roman" w:hAnsi="Times New Roman"/>
                <w:sz w:val="14"/>
              </w:rPr>
              <w:t>Blasphemy law applies equally under Israel’s jurisdiction.</w:t>
            </w:r>
          </w:p>
        </w:tc>
      </w:tr>
      <w:tr>
        <w:tc>
          <w:tcPr>
            <w:tcW w:type="dxa" w:w="3561"/>
            <w:vAlign w:val="top"/>
          </w:tcPr>
          <w:p>
            <w:pPr>
              <w:spacing w:after="0"/>
            </w:pPr>
            <w:r>
              <w:rPr>
                <w:rFonts w:ascii="Times New Roman" w:hAnsi="Times New Roman"/>
                <w:sz w:val="14"/>
              </w:rPr>
              <w:t>Lev. 24:17–18</w:t>
            </w:r>
          </w:p>
        </w:tc>
        <w:tc>
          <w:tcPr>
            <w:tcW w:type="dxa" w:w="3561"/>
            <w:vAlign w:val="top"/>
          </w:tcPr>
          <w:p>
            <w:pPr>
              <w:spacing w:after="0"/>
            </w:pPr>
            <w:r>
              <w:rPr>
                <w:rFonts w:ascii="Times New Roman" w:hAnsi="Times New Roman"/>
                <w:sz w:val="14"/>
              </w:rPr>
              <w:t>human killing vs animal loss</w:t>
            </w:r>
          </w:p>
        </w:tc>
        <w:tc>
          <w:tcPr>
            <w:tcW w:type="dxa" w:w="3561"/>
            <w:vAlign w:val="top"/>
          </w:tcPr>
          <w:p>
            <w:pPr>
              <w:spacing w:after="0"/>
            </w:pPr>
            <w:r>
              <w:rPr>
                <w:rFonts w:ascii="Times New Roman" w:hAnsi="Times New Roman"/>
                <w:sz w:val="14"/>
              </w:rPr>
              <w:t>Capital judgment distinguished from restitution.</w:t>
            </w:r>
          </w:p>
        </w:tc>
      </w:tr>
      <w:tr>
        <w:tc>
          <w:tcPr>
            <w:tcW w:type="dxa" w:w="3561"/>
            <w:vAlign w:val="top"/>
          </w:tcPr>
          <w:p>
            <w:pPr>
              <w:spacing w:after="0"/>
            </w:pPr>
            <w:r>
              <w:rPr>
                <w:rFonts w:ascii="Times New Roman" w:hAnsi="Times New Roman"/>
                <w:sz w:val="14"/>
              </w:rPr>
              <w:t>Lev. 24:19–20</w:t>
            </w:r>
          </w:p>
        </w:tc>
        <w:tc>
          <w:tcPr>
            <w:tcW w:type="dxa" w:w="3561"/>
            <w:vAlign w:val="top"/>
          </w:tcPr>
          <w:p>
            <w:pPr>
              <w:spacing w:after="0"/>
            </w:pPr>
            <w:r>
              <w:rPr>
                <w:rFonts w:ascii="Times New Roman" w:hAnsi="Times New Roman"/>
                <w:sz w:val="14"/>
              </w:rPr>
              <w:t>lex talionis</w:t>
            </w:r>
          </w:p>
        </w:tc>
        <w:tc>
          <w:tcPr>
            <w:tcW w:type="dxa" w:w="3561"/>
            <w:vAlign w:val="top"/>
          </w:tcPr>
          <w:p>
            <w:pPr>
              <w:spacing w:after="0"/>
            </w:pPr>
            <w:r>
              <w:rPr>
                <w:rFonts w:ascii="Times New Roman" w:hAnsi="Times New Roman"/>
                <w:sz w:val="14"/>
              </w:rPr>
              <w:t>Proportional judicial rule, not personal vengeance.</w:t>
            </w:r>
          </w:p>
        </w:tc>
      </w:tr>
      <w:tr>
        <w:tc>
          <w:tcPr>
            <w:tcW w:type="dxa" w:w="3561"/>
            <w:vAlign w:val="top"/>
          </w:tcPr>
          <w:p>
            <w:pPr>
              <w:spacing w:after="0"/>
            </w:pPr>
            <w:r>
              <w:rPr>
                <w:rFonts w:ascii="Times New Roman" w:hAnsi="Times New Roman"/>
                <w:sz w:val="14"/>
              </w:rPr>
              <w:t>Matt. 5:38–42</w:t>
            </w:r>
          </w:p>
        </w:tc>
        <w:tc>
          <w:tcPr>
            <w:tcW w:type="dxa" w:w="3561"/>
            <w:vAlign w:val="top"/>
          </w:tcPr>
          <w:p>
            <w:pPr>
              <w:spacing w:after="0"/>
            </w:pPr>
            <w:r>
              <w:rPr>
                <w:rFonts w:ascii="Times New Roman" w:hAnsi="Times New Roman"/>
                <w:sz w:val="14"/>
              </w:rPr>
              <w:t>disciple application</w:t>
            </w:r>
          </w:p>
        </w:tc>
        <w:tc>
          <w:tcPr>
            <w:tcW w:type="dxa" w:w="3561"/>
            <w:vAlign w:val="top"/>
          </w:tcPr>
          <w:p>
            <w:pPr>
              <w:spacing w:after="0"/>
            </w:pPr>
            <w:r>
              <w:rPr>
                <w:rFonts w:ascii="Times New Roman" w:hAnsi="Times New Roman"/>
                <w:sz w:val="14"/>
              </w:rPr>
              <w:t>Jesus rejects personal retaliatory use of lex talionis.</w:t>
            </w:r>
          </w:p>
        </w:tc>
      </w:tr>
      <w:tr>
        <w:tc>
          <w:tcPr>
            <w:tcW w:type="dxa" w:w="3561"/>
            <w:vAlign w:val="top"/>
          </w:tcPr>
          <w:p>
            <w:pPr>
              <w:spacing w:after="0"/>
            </w:pPr>
            <w:r>
              <w:rPr>
                <w:rFonts w:ascii="Times New Roman" w:hAnsi="Times New Roman"/>
                <w:sz w:val="14"/>
              </w:rPr>
              <w:t>Lev. 24:22</w:t>
            </w:r>
          </w:p>
        </w:tc>
        <w:tc>
          <w:tcPr>
            <w:tcW w:type="dxa" w:w="3561"/>
            <w:vAlign w:val="top"/>
          </w:tcPr>
          <w:p>
            <w:pPr>
              <w:spacing w:after="0"/>
            </w:pPr>
            <w:r>
              <w:rPr>
                <w:rFonts w:ascii="Times New Roman" w:hAnsi="Times New Roman"/>
                <w:sz w:val="14"/>
              </w:rPr>
              <w:t>one law</w:t>
            </w:r>
          </w:p>
        </w:tc>
        <w:tc>
          <w:tcPr>
            <w:tcW w:type="dxa" w:w="3561"/>
            <w:vAlign w:val="top"/>
          </w:tcPr>
          <w:p>
            <w:pPr>
              <w:spacing w:after="0"/>
            </w:pPr>
            <w:r>
              <w:rPr>
                <w:rFonts w:ascii="Times New Roman" w:hAnsi="Times New Roman"/>
                <w:sz w:val="14"/>
              </w:rPr>
              <w:t>Equal public justice for resident stranger and native.</w:t>
            </w:r>
          </w:p>
        </w:tc>
      </w:tr>
      <w:tr>
        <w:tc>
          <w:tcPr>
            <w:tcW w:type="dxa" w:w="3561"/>
            <w:vAlign w:val="top"/>
          </w:tcPr>
          <w:p>
            <w:pPr>
              <w:spacing w:after="0"/>
            </w:pPr>
            <w:r>
              <w:rPr>
                <w:rFonts w:ascii="Times New Roman" w:hAnsi="Times New Roman"/>
                <w:sz w:val="14"/>
              </w:rPr>
              <w:t>Lev. 24:23</w:t>
            </w:r>
          </w:p>
        </w:tc>
        <w:tc>
          <w:tcPr>
            <w:tcW w:type="dxa" w:w="3561"/>
            <w:vAlign w:val="top"/>
          </w:tcPr>
          <w:p>
            <w:pPr>
              <w:spacing w:after="0"/>
            </w:pPr>
            <w:r>
              <w:rPr>
                <w:rFonts w:ascii="Times New Roman" w:hAnsi="Times New Roman"/>
                <w:sz w:val="14"/>
              </w:rPr>
              <w:t>outside camp sentence</w:t>
            </w:r>
          </w:p>
        </w:tc>
        <w:tc>
          <w:tcPr>
            <w:tcW w:type="dxa" w:w="3561"/>
            <w:vAlign w:val="top"/>
          </w:tcPr>
          <w:p>
            <w:pPr>
              <w:spacing w:after="0"/>
            </w:pPr>
            <w:r>
              <w:rPr>
                <w:rFonts w:ascii="Times New Roman" w:hAnsi="Times New Roman"/>
                <w:sz w:val="14"/>
              </w:rPr>
              <w:t>National covenant judgment after formal ruling.</w:t>
            </w:r>
          </w:p>
        </w:tc>
      </w:tr>
    </w:tbl>
    <w:p>
      <w:pPr>
        <w:pStyle w:val="Heading1"/>
      </w:pPr>
      <w:r>
        <w:t>RESIDUAL UNCERTAINTIES</w:t>
      </w:r>
    </w:p>
    <w:p>
      <w:pPr/>
      <w:r>
        <w:rPr>
          <w:i w:val="0"/>
        </w:rPr>
        <w:t>The exact nuance of naqav in verses 11 and 16 is debated, but the narrative clearly involves cursing the Divine Name. The ritual significance of witness hand-laying is best kept to public identification/responsibility rather than a mechanical transfer theory. The civil penalties belong to ancient Israel’s covenant state.</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24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