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25</w:t>
      </w:r>
    </w:p>
    <w:p>
      <w:pPr>
        <w:pStyle w:val="Subtitle"/>
      </w:pPr>
      <w:r>
        <w:t>THE SABBATH YEAR • THE JUBILEE • SHOFAR AND LIBERTY • “THE LAND IS MINE” • REDEMPTION OF INHERITANCE • THE POOR BROTHER • ISRAELITES AS YAHWEH’S SERVANTS</w:t>
      </w:r>
    </w:p>
    <w:p>
      <w:pPr/>
      <w:r>
        <w:rPr>
          <w:i/>
        </w:rPr>
        <w:t>H. P. Mansfield Bible notes — checked and arranged in verse-by-verse Expositor style</w:t>
      </w:r>
    </w:p>
    <w:p>
      <w:pPr/>
      <w:r>
        <w:rPr>
          <w:i w:val="0"/>
        </w:rPr>
        <w:t>Source: HPB03 Leviticus 25 annotated pages; cross-checked with Mansfield Expositor Chapter 25</w:t>
      </w:r>
    </w:p>
    <w:p>
      <w:pPr>
        <w:pStyle w:val="Heading1"/>
      </w:pPr>
      <w:r>
        <w:t>CHAPTER OVERVIEW</w:t>
      </w:r>
    </w:p>
    <w:p>
      <w:pPr/>
      <w:r>
        <w:rPr>
          <w:i w:val="0"/>
        </w:rPr>
        <w:t>Leviticus 25 regulates Israel’s use of the land and the economic relationships that arise from poverty. The theological centre is verse 23: “the land is mine.” Israel therefore holds both land and liberty under Yahweh rather than as absolute private possessions.</w:t>
      </w:r>
    </w:p>
    <w:p>
      <w:pPr/>
      <w:r>
        <w:rPr>
          <w:i w:val="0"/>
        </w:rPr>
        <w:t>Sabbath years and Jubilee interrupt permanent accumulation. Inheritance can be redeemed, impoverished Israelites are protected from permanent enslavement to fellow Israelites, and the Jubilee proclaims return, liberty and restoration.</w:t>
      </w:r>
    </w:p>
    <w:p>
      <w:pPr>
        <w:pStyle w:val="Heading1"/>
      </w:pPr>
      <w:r>
        <w:t>THE SEVENTH-YEAR SABBATH — LEVITICUS 25:1–7</w:t>
      </w:r>
    </w:p>
    <w:p>
      <w:pPr>
        <w:pStyle w:val="Heading2"/>
      </w:pPr>
      <w:r>
        <w:t>Leviticus 25:1–4 — the land keeps Sabbath to Yahweh</w:t>
      </w:r>
    </w:p>
    <w:p>
      <w:pPr/>
      <w:r>
        <w:rPr>
          <w:i w:val="0"/>
        </w:rPr>
        <w:t>When Israel enters the land, six years are used for sowing, pruning and harvest, but the seventh is shabbat shabbaton, a Sabbath of complete rest for the land. The field is not commercially sown and the vineyard is not pruned for normal production.</w:t>
      </w:r>
    </w:p>
    <w:p>
      <w:pPr/>
      <w:r>
        <w:rPr>
          <w:i w:val="0"/>
        </w:rPr>
        <w:t>The command directly tests reliance on Yahweh. Agricultural benefit may result from resting land, but the inspired reason is covenant Sabbath, not an ancient agronomy theory.</w:t>
      </w:r>
    </w:p>
    <w:p>
      <w:pPr>
        <w:pStyle w:val="Heading2"/>
      </w:pPr>
      <w:r>
        <w:t>Leviticus 25:5–7 — spontaneous produce is shared</w:t>
      </w:r>
    </w:p>
    <w:p>
      <w:pPr/>
      <w:r>
        <w:rPr>
          <w:i w:val="0"/>
        </w:rPr>
        <w:t>Israel must not harvest the self-grown crop or unpruned grapes as an ordinary stored commercial harvest. The Sabbath produce is available as food to owner, servant, hired worker, resident sojourner, cattle and wild animals.</w:t>
      </w:r>
    </w:p>
    <w:p>
      <w:pPr/>
      <w:r>
        <w:rPr>
          <w:i w:val="0"/>
        </w:rPr>
        <w:t>The year therefore temporarily loosens normal ownership claims over agricultural increase.</w:t>
      </w:r>
    </w:p>
    <w:p>
      <w:pPr>
        <w:pStyle w:val="Heading1"/>
      </w:pPr>
      <w:r>
        <w:t>THE JUBILEE PROCLAIMED — LEVITICUS 25:8–12</w:t>
      </w:r>
    </w:p>
    <w:p>
      <w:pPr>
        <w:pStyle w:val="Heading2"/>
      </w:pPr>
      <w:r>
        <w:t>Leviticus 25:8 — seven sabbaths of years</w:t>
      </w:r>
    </w:p>
    <w:p>
      <w:pPr/>
      <w:r>
        <w:rPr>
          <w:i w:val="0"/>
        </w:rPr>
        <w:t>Seven cycles of seven years make forty-nine years. The next year is designated the fiftieth, the yobel/Jubilee.</w:t>
      </w:r>
    </w:p>
    <w:p>
      <w:pPr/>
      <w:r>
        <w:rPr>
          <w:i w:val="0"/>
        </w:rPr>
        <w:t>How the fiftieth year related administratively to the next seven-year cycle has been debated, but the text’s proclamation of a fiftieth Jubilee year is clear.</w:t>
      </w:r>
    </w:p>
    <w:p>
      <w:pPr>
        <w:pStyle w:val="Heading2"/>
      </w:pPr>
      <w:r>
        <w:t>Leviticus 25:9 — shofar teru‘ah on the Day of Atonement</w:t>
      </w:r>
    </w:p>
    <w:p>
      <w:pPr/>
      <w:r>
        <w:rPr>
          <w:i w:val="0"/>
        </w:rPr>
        <w:t>On the tenth day of the seventh month, the Day of Atonement, Israel causes a shofar teru‘ah—a ram’s-horn/trumpet blast—to pass throughout the land.</w:t>
      </w:r>
    </w:p>
    <w:p>
      <w:pPr/>
      <w:r>
        <w:rPr>
          <w:i w:val="0"/>
        </w:rPr>
        <w:t>KJV “trumpet of the jubile” can obscure the Hebrew: verse 9 uses shofar and teru‘ah; the noun yobel/Jubilee appears in the following verses. Mansfield’s distinction here is lexically useful.</w:t>
      </w:r>
    </w:p>
    <w:p>
      <w:pPr>
        <w:pStyle w:val="Heading2"/>
      </w:pPr>
      <w:r>
        <w:t>Leviticus 25:10–12 — deror: liberty and return</w:t>
      </w:r>
    </w:p>
    <w:p>
      <w:pPr/>
      <w:r>
        <w:rPr>
          <w:i w:val="0"/>
        </w:rPr>
        <w:t>The fiftieth year is hallowed and deror, liberty/release, is proclaimed throughout the land. Each Israelite returns to ancestral possession and family.</w:t>
      </w:r>
    </w:p>
    <w:p>
      <w:pPr/>
      <w:r>
        <w:rPr>
          <w:i w:val="0"/>
        </w:rPr>
        <w:t>The year is not sown or reaped as an ordinary harvest year. It is a Jubilee whose produce is eaten from the field rather than treated as normal commercial output.</w:t>
      </w:r>
    </w:p>
    <w:p>
      <w:pPr>
        <w:pStyle w:val="Heading1"/>
      </w:pPr>
      <w:r>
        <w:t>PROPERTY VALUE UNDER JUBILEE — LEVITICUS 25:13–24</w:t>
      </w:r>
    </w:p>
    <w:p>
      <w:pPr>
        <w:pStyle w:val="Heading2"/>
      </w:pPr>
      <w:r>
        <w:t>Leviticus 25:13–17 — price by harvest years remaining</w:t>
      </w:r>
    </w:p>
    <w:p>
      <w:pPr/>
      <w:r>
        <w:rPr>
          <w:i w:val="0"/>
        </w:rPr>
        <w:t>Land transactions are priced according to the number of crop years remaining until Jubilee. Many years increase the price; fewer years reduce it. Buyer and seller must not yanah, oppress/wrong, one another.</w:t>
      </w:r>
    </w:p>
    <w:p>
      <w:pPr/>
      <w:r>
        <w:rPr>
          <w:i w:val="0"/>
        </w:rPr>
        <w:t>Because the ancestral holding returns, the transaction functions more like sale of remaining productive use than alienation in perpetuity.</w:t>
      </w:r>
    </w:p>
    <w:p>
      <w:pPr>
        <w:pStyle w:val="Heading2"/>
      </w:pPr>
      <w:r>
        <w:t>Leviticus 25:18–22 — “What shall we eat?”</w:t>
      </w:r>
    </w:p>
    <w:p>
      <w:pPr/>
      <w:r>
        <w:rPr>
          <w:i w:val="0"/>
        </w:rPr>
        <w:t>Yahweh anticipates the faith-question about the seventh year and promises His blessing upon the sixth-year crop so that Israel has sufficient provision while the land rests and until the later crop arrives.</w:t>
      </w:r>
    </w:p>
    <w:p>
      <w:pPr/>
      <w:r>
        <w:rPr>
          <w:i w:val="0"/>
        </w:rPr>
        <w:t>The “three years” language covers consumption spanning the sixth-year harvest, Sabbath year and the interval until the next harvest; it should not be turned into a rigid modern fiscal formula.</w:t>
      </w:r>
    </w:p>
    <w:p>
      <w:pPr>
        <w:pStyle w:val="Heading2"/>
      </w:pPr>
      <w:r>
        <w:t>Leviticus 25:23–24 — “the land is mine”</w:t>
      </w:r>
    </w:p>
    <w:p>
      <w:pPr/>
      <w:r>
        <w:rPr>
          <w:i w:val="0"/>
        </w:rPr>
        <w:t>The land is not to be sold litsmithut, in perpetuity, because it belongs to Yahweh. Israel are gerim vetoshavim—strangers and sojourners/tenants—with Him.</w:t>
      </w:r>
    </w:p>
    <w:p>
      <w:pPr/>
      <w:r>
        <w:rPr>
          <w:i w:val="0"/>
        </w:rPr>
        <w:t>Therefore geullah, right of redemption, must be granted for the land. This verse governs the property laws that follow.</w:t>
      </w:r>
    </w:p>
    <w:p>
      <w:pPr>
        <w:pStyle w:val="Heading1"/>
      </w:pPr>
      <w:r>
        <w:t>REDEMPTION OF PROPERTY — LEVITICUS 25:25–34</w:t>
      </w:r>
    </w:p>
    <w:p>
      <w:pPr>
        <w:pStyle w:val="Heading2"/>
      </w:pPr>
      <w:r>
        <w:t>Leviticus 25:25–28 — the go’el redeems family land</w:t>
      </w:r>
    </w:p>
    <w:p>
      <w:pPr/>
      <w:r>
        <w:rPr>
          <w:i w:val="0"/>
        </w:rPr>
        <w:t>If poverty forces an Israelite to sell part of the holding, the nearest qualified go’el, kinsman-redeemer, may redeem it. If the seller later gains sufficient means, he may calculate the years since sale, repay the remainder and return to the possession.</w:t>
      </w:r>
    </w:p>
    <w:p>
      <w:pPr/>
      <w:r>
        <w:rPr>
          <w:i w:val="0"/>
        </w:rPr>
        <w:t>If neither redemption occurs, the property returns at Jubilee. Temporary poverty must not erase ancestral inheritance permanently.</w:t>
      </w:r>
    </w:p>
    <w:p>
      <w:pPr>
        <w:pStyle w:val="Heading2"/>
      </w:pPr>
      <w:r>
        <w:t>Leviticus 25:29–31 — walled city versus village house</w:t>
      </w:r>
    </w:p>
    <w:p>
      <w:pPr/>
      <w:r>
        <w:rPr>
          <w:i w:val="0"/>
        </w:rPr>
        <w:t>A house in a walled city has a one-year redemption period; after that it remains permanently with the purchaser and does not go out at Jubilee. Houses in unwalled villages are treated like fields and return at Jubilee.</w:t>
      </w:r>
    </w:p>
    <w:p>
      <w:pPr/>
      <w:r>
        <w:rPr>
          <w:i w:val="0"/>
        </w:rPr>
        <w:t>The chapter therefore contains a deliberate exception to the simple slogan that every property transaction reverses at Jubilee.</w:t>
      </w:r>
    </w:p>
    <w:p>
      <w:pPr>
        <w:pStyle w:val="Heading2"/>
      </w:pPr>
      <w:r>
        <w:t>Leviticus 25:32–34 — Levite towns protected</w:t>
      </w:r>
    </w:p>
    <w:p>
      <w:pPr/>
      <w:r>
        <w:rPr>
          <w:i w:val="0"/>
        </w:rPr>
        <w:t>Levites have a continuing right to redeem houses in their cities, and their city houses return at Jubilee. The pasture/open land around Levitical cities is not to be permanently sold because it is their perpetual possession.</w:t>
      </w:r>
    </w:p>
    <w:p>
      <w:pPr>
        <w:pStyle w:val="Heading1"/>
      </w:pPr>
      <w:r>
        <w:t>POVERTY, INTEREST AND ISRAELITE SERVICE — LEVITICUS 25:35–46</w:t>
      </w:r>
    </w:p>
    <w:p>
      <w:pPr>
        <w:pStyle w:val="Heading2"/>
      </w:pPr>
      <w:r>
        <w:t>Leviticus 25:35–38 — support, do not profit from distress</w:t>
      </w:r>
    </w:p>
    <w:p>
      <w:pPr/>
      <w:r>
        <w:rPr>
          <w:i w:val="0"/>
        </w:rPr>
        <w:t>When a brother becomes poor and his hand fails, he is to be upheld so that he may live alongside Israel. The phrase involving ger and toshav is best understood as describing protected resident status rather than simply adding a separate class of debtor in every clause.</w:t>
      </w:r>
    </w:p>
    <w:p>
      <w:pPr/>
      <w:r>
        <w:rPr>
          <w:i w:val="0"/>
        </w:rPr>
        <w:t>No neshekh, interest, or tarbit/marbit, increase, is to be taken from the impoverished brother in this relief setting. Yahweh’s Exodus redemption is the reason for refusing profit from covenant distress.</w:t>
      </w:r>
    </w:p>
    <w:p>
      <w:pPr>
        <w:pStyle w:val="Heading2"/>
      </w:pPr>
      <w:r>
        <w:t>Leviticus 25:39–43 — an Israelite is not to be treated as a slave</w:t>
      </w:r>
    </w:p>
    <w:p>
      <w:pPr/>
      <w:r>
        <w:rPr>
          <w:i w:val="0"/>
        </w:rPr>
        <w:t>An impoverished Israelite who sells his labour to a fellow Israelite is to be treated as a hired worker/resident servant, not with slave-rigour, and leaves with children at Jubilee.</w:t>
      </w:r>
    </w:p>
    <w:p>
      <w:pPr/>
      <w:r>
        <w:rPr>
          <w:i w:val="0"/>
        </w:rPr>
        <w:t>The controlling reason is verse 42: “they are my servants, which I brought forth out of the land of Egypt.” A redeemed people cannot rightly claim absolute ownership over fellow members of the redeemed nation.</w:t>
      </w:r>
    </w:p>
    <w:p>
      <w:pPr>
        <w:pStyle w:val="Heading2"/>
      </w:pPr>
      <w:r>
        <w:t>Leviticus 25:44–46 — foreign bondservants in ancient Israel</w:t>
      </w:r>
    </w:p>
    <w:p>
      <w:pPr/>
      <w:r>
        <w:rPr>
          <w:i w:val="0"/>
        </w:rPr>
        <w:t>The law does permit Israelites to acquire foreign bondservants from surrounding peoples and resident foreign families, and to pass such servants as inherited property. This distinction is part of ancient Israel’s national social law and should be stated accurately rather than softened.</w:t>
      </w:r>
    </w:p>
    <w:p>
      <w:pPr/>
      <w:r>
        <w:rPr>
          <w:i w:val="0"/>
        </w:rPr>
        <w:t>It is not a moral endorsement of modern chattel slavery. Later Christian discipleship is governed by the equal accountability and brotherhood taught in passages such as Philemon and Colossians 4:1, while Leviticus 25 itself specifically limits Israelite bondage because of Yahweh’s prior ownership.</w:t>
      </w:r>
    </w:p>
    <w:p>
      <w:pPr>
        <w:pStyle w:val="Heading1"/>
      </w:pPr>
      <w:r>
        <w:t>AN ISRAELITE SERVANT OF A RESIDENT STRANGER — LEVITICUS 25:47–55</w:t>
      </w:r>
    </w:p>
    <w:p>
      <w:pPr>
        <w:pStyle w:val="Heading2"/>
      </w:pPr>
      <w:r>
        <w:t>Leviticus 25:47–52 — kinsman redemption price by years</w:t>
      </w:r>
    </w:p>
    <w:p>
      <w:pPr/>
      <w:r>
        <w:rPr>
          <w:i w:val="0"/>
        </w:rPr>
        <w:t>If an Israelite becomes servant to a prosperous resident stranger, a brother, uncle, cousin or near clan relative may redeem him, or he may redeem himself if able. The price is calculated according to years remaining until Jubilee, like the wages of a hired worker.</w:t>
      </w:r>
    </w:p>
    <w:p>
      <w:pPr>
        <w:pStyle w:val="Heading2"/>
      </w:pPr>
      <w:r>
        <w:t>Leviticus 25:53–55 — no rigour; Jubilee if not earlier redeemed</w:t>
      </w:r>
    </w:p>
    <w:p>
      <w:pPr/>
      <w:r>
        <w:rPr>
          <w:i w:val="0"/>
        </w:rPr>
        <w:t>The Israelite must not be ruled befarekh, with crushing rigour. If not redeemed earlier, he and his children go out in the Jubilee.</w:t>
      </w:r>
    </w:p>
    <w:p>
      <w:pPr/>
      <w:r>
        <w:rPr>
          <w:i w:val="0"/>
        </w:rPr>
        <w:t>The chapter closes where its theology began: “unto me the children of Israel are servants … I am Yahweh your God.”</w:t>
      </w:r>
    </w:p>
    <w:p>
      <w:pPr>
        <w:pStyle w:val="Heading1"/>
      </w:pPr>
      <w:r>
        <w:t>JUBILEE AND THE GREATER RELEASE</w:t>
      </w:r>
    </w:p>
    <w:p>
      <w:pPr>
        <w:pStyle w:val="Heading2"/>
      </w:pPr>
      <w:r>
        <w:t>Liberty as legitimate broad typology</w:t>
      </w:r>
    </w:p>
    <w:p>
      <w:pPr/>
      <w:r>
        <w:rPr>
          <w:i w:val="0"/>
        </w:rPr>
        <w:t>Isaiah 61:1–2 uses deror/liberty language for proclamation to captives, and Jesus applies that passage to his mission in Luke 4:18–21. Mansfield’s greater-release theme therefore has strong biblical support, though the Levitical Jubilee should first be understood in its land, family and debt setting.</w:t>
      </w:r>
    </w:p>
    <w:p>
      <w:pPr>
        <w:pStyle w:val="Heading1"/>
      </w:pPr>
      <w:r>
        <w:t>PRINCIPAL THEMES</w:t>
      </w:r>
    </w:p>
    <w:p>
      <w:pPr>
        <w:ind w:left="259" w:hanging="202"/>
      </w:pPr>
      <w:r>
        <w:rPr>
          <w:b/>
        </w:rPr>
        <w:t xml:space="preserve">• </w:t>
      </w:r>
      <w:r>
        <w:t>The seventh year is a Sabbath to Yahweh, not merely an agricultural technique.</w:t>
      </w:r>
    </w:p>
    <w:p>
      <w:pPr>
        <w:ind w:left="259" w:hanging="202"/>
      </w:pPr>
      <w:r>
        <w:rPr>
          <w:b/>
        </w:rPr>
        <w:t xml:space="preserve">• </w:t>
      </w:r>
      <w:r>
        <w:t>The Jubilee follows seven sabbaths of years and proclaims liberty and return.</w:t>
      </w:r>
    </w:p>
    <w:p>
      <w:pPr>
        <w:ind w:left="259" w:hanging="202"/>
      </w:pPr>
      <w:r>
        <w:rPr>
          <w:b/>
        </w:rPr>
        <w:t xml:space="preserve">• </w:t>
      </w:r>
      <w:r>
        <w:t>Leviticus 25:9 uses shofar teru‘ah; yobel/Jubilee is the year-title in the following verses.</w:t>
      </w:r>
    </w:p>
    <w:p>
      <w:pPr>
        <w:ind w:left="259" w:hanging="202"/>
      </w:pPr>
      <w:r>
        <w:rPr>
          <w:b/>
        </w:rPr>
        <w:t xml:space="preserve">• </w:t>
      </w:r>
      <w:r>
        <w:t>Property values are tied to harvest years remaining because ancestral land ultimately returns.</w:t>
      </w:r>
    </w:p>
    <w:p>
      <w:pPr>
        <w:ind w:left="259" w:hanging="202"/>
      </w:pPr>
      <w:r>
        <w:rPr>
          <w:b/>
        </w:rPr>
        <w:t xml:space="preserve">• </w:t>
      </w:r>
      <w:r>
        <w:t>“The land is mine” is the theological centre of the chapter.</w:t>
      </w:r>
    </w:p>
    <w:p>
      <w:pPr>
        <w:ind w:left="259" w:hanging="202"/>
      </w:pPr>
      <w:r>
        <w:rPr>
          <w:b/>
        </w:rPr>
        <w:t xml:space="preserve">• </w:t>
      </w:r>
      <w:r>
        <w:t>The go’el/kinsman-redeemer prevents temporary poverty becoming permanent loss of inheritance.</w:t>
      </w:r>
    </w:p>
    <w:p>
      <w:pPr>
        <w:ind w:left="259" w:hanging="202"/>
      </w:pPr>
      <w:r>
        <w:rPr>
          <w:b/>
        </w:rPr>
        <w:t xml:space="preserve">• </w:t>
      </w:r>
      <w:r>
        <w:t>Walled-city houses are an explicit one-year-redemption exception to general Jubilee return.</w:t>
      </w:r>
    </w:p>
    <w:p>
      <w:pPr>
        <w:ind w:left="259" w:hanging="202"/>
      </w:pPr>
      <w:r>
        <w:rPr>
          <w:b/>
        </w:rPr>
        <w:t xml:space="preserve">• </w:t>
      </w:r>
      <w:r>
        <w:t>Interest/increase may not be taken from the impoverished covenant brother in the relief-loan setting.</w:t>
      </w:r>
    </w:p>
    <w:p>
      <w:pPr>
        <w:ind w:left="259" w:hanging="202"/>
      </w:pPr>
      <w:r>
        <w:rPr>
          <w:b/>
        </w:rPr>
        <w:t xml:space="preserve">• </w:t>
      </w:r>
      <w:r>
        <w:t>Israelites may not be held permanently by fellow Israelites because they are Yahweh’s servants.</w:t>
      </w:r>
    </w:p>
    <w:p>
      <w:pPr>
        <w:ind w:left="259" w:hanging="202"/>
      </w:pPr>
      <w:r>
        <w:rPr>
          <w:b/>
        </w:rPr>
        <w:t xml:space="preserve">• </w:t>
      </w:r>
      <w:r>
        <w:t>The chapter does permit foreign hereditary bondservice under ancient Israelite law; this must not be disguised or treated as modern endorsement.</w:t>
      </w:r>
    </w:p>
    <w:p>
      <w:pPr>
        <w:ind w:left="259" w:hanging="202"/>
      </w:pPr>
      <w:r>
        <w:rPr>
          <w:b/>
        </w:rPr>
        <w:t xml:space="preserve">• </w:t>
      </w:r>
      <w:r>
        <w:t>Isaiah 61 and Luke 4 provide a secure broader biblical link between Jubilee-like liberty and redemption.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25:4</w:t>
            </w:r>
          </w:p>
        </w:tc>
        <w:tc>
          <w:tcPr>
            <w:tcW w:type="dxa" w:w="3561"/>
            <w:vAlign w:val="top"/>
          </w:tcPr>
          <w:p>
            <w:pPr>
              <w:spacing w:after="0"/>
            </w:pPr>
            <w:r>
              <w:rPr>
                <w:rFonts w:ascii="Times New Roman" w:hAnsi="Times New Roman"/>
                <w:sz w:val="14"/>
              </w:rPr>
              <w:t>shabbat shabbaton</w:t>
            </w:r>
          </w:p>
        </w:tc>
        <w:tc>
          <w:tcPr>
            <w:tcW w:type="dxa" w:w="3561"/>
            <w:vAlign w:val="top"/>
          </w:tcPr>
          <w:p>
            <w:pPr>
              <w:spacing w:after="0"/>
            </w:pPr>
            <w:r>
              <w:rPr>
                <w:rFonts w:ascii="Times New Roman" w:hAnsi="Times New Roman"/>
                <w:sz w:val="14"/>
              </w:rPr>
              <w:t>Complete Sabbath rest for the land.</w:t>
            </w:r>
          </w:p>
        </w:tc>
      </w:tr>
      <w:tr>
        <w:tc>
          <w:tcPr>
            <w:tcW w:type="dxa" w:w="3561"/>
            <w:vAlign w:val="top"/>
          </w:tcPr>
          <w:p>
            <w:pPr>
              <w:spacing w:after="0"/>
            </w:pPr>
            <w:r>
              <w:rPr>
                <w:rFonts w:ascii="Times New Roman" w:hAnsi="Times New Roman"/>
                <w:sz w:val="14"/>
              </w:rPr>
              <w:t>Lev. 25:5–7</w:t>
            </w:r>
          </w:p>
        </w:tc>
        <w:tc>
          <w:tcPr>
            <w:tcW w:type="dxa" w:w="3561"/>
            <w:vAlign w:val="top"/>
          </w:tcPr>
          <w:p>
            <w:pPr>
              <w:spacing w:after="0"/>
            </w:pPr>
            <w:r>
              <w:rPr>
                <w:rFonts w:ascii="Times New Roman" w:hAnsi="Times New Roman"/>
                <w:sz w:val="14"/>
              </w:rPr>
              <w:t>spontaneous produce</w:t>
            </w:r>
          </w:p>
        </w:tc>
        <w:tc>
          <w:tcPr>
            <w:tcW w:type="dxa" w:w="3561"/>
            <w:vAlign w:val="top"/>
          </w:tcPr>
          <w:p>
            <w:pPr>
              <w:spacing w:after="0"/>
            </w:pPr>
            <w:r>
              <w:rPr>
                <w:rFonts w:ascii="Times New Roman" w:hAnsi="Times New Roman"/>
                <w:sz w:val="14"/>
              </w:rPr>
              <w:t>Available broadly; not normal commercial harvest/storage.</w:t>
            </w:r>
          </w:p>
        </w:tc>
      </w:tr>
      <w:tr>
        <w:tc>
          <w:tcPr>
            <w:tcW w:type="dxa" w:w="3561"/>
            <w:vAlign w:val="top"/>
          </w:tcPr>
          <w:p>
            <w:pPr>
              <w:spacing w:after="0"/>
            </w:pPr>
            <w:r>
              <w:rPr>
                <w:rFonts w:ascii="Times New Roman" w:hAnsi="Times New Roman"/>
                <w:sz w:val="14"/>
              </w:rPr>
              <w:t>Lev. 25:8</w:t>
            </w:r>
          </w:p>
        </w:tc>
        <w:tc>
          <w:tcPr>
            <w:tcW w:type="dxa" w:w="3561"/>
            <w:vAlign w:val="top"/>
          </w:tcPr>
          <w:p>
            <w:pPr>
              <w:spacing w:after="0"/>
            </w:pPr>
            <w:r>
              <w:rPr>
                <w:rFonts w:ascii="Times New Roman" w:hAnsi="Times New Roman"/>
                <w:sz w:val="14"/>
              </w:rPr>
              <w:t>7 × 7 = 49; fiftieth Jubilee</w:t>
            </w:r>
          </w:p>
        </w:tc>
        <w:tc>
          <w:tcPr>
            <w:tcW w:type="dxa" w:w="3561"/>
            <w:vAlign w:val="top"/>
          </w:tcPr>
          <w:p>
            <w:pPr>
              <w:spacing w:after="0"/>
            </w:pPr>
            <w:r>
              <w:rPr>
                <w:rFonts w:ascii="Times New Roman" w:hAnsi="Times New Roman"/>
                <w:sz w:val="14"/>
              </w:rPr>
              <w:t>Text explicitly designates following year as fiftieth.</w:t>
            </w:r>
          </w:p>
        </w:tc>
      </w:tr>
      <w:tr>
        <w:tc>
          <w:tcPr>
            <w:tcW w:type="dxa" w:w="3561"/>
            <w:vAlign w:val="top"/>
          </w:tcPr>
          <w:p>
            <w:pPr>
              <w:spacing w:after="0"/>
            </w:pPr>
            <w:r>
              <w:rPr>
                <w:rFonts w:ascii="Times New Roman" w:hAnsi="Times New Roman"/>
                <w:sz w:val="14"/>
              </w:rPr>
              <w:t>Lev. 25:9</w:t>
            </w:r>
          </w:p>
        </w:tc>
        <w:tc>
          <w:tcPr>
            <w:tcW w:type="dxa" w:w="3561"/>
            <w:vAlign w:val="top"/>
          </w:tcPr>
          <w:p>
            <w:pPr>
              <w:spacing w:after="0"/>
            </w:pPr>
            <w:r>
              <w:rPr>
                <w:rFonts w:ascii="Times New Roman" w:hAnsi="Times New Roman"/>
                <w:sz w:val="14"/>
              </w:rPr>
              <w:t>shofar teru‘ah</w:t>
            </w:r>
          </w:p>
        </w:tc>
        <w:tc>
          <w:tcPr>
            <w:tcW w:type="dxa" w:w="3561"/>
            <w:vAlign w:val="top"/>
          </w:tcPr>
          <w:p>
            <w:pPr>
              <w:spacing w:after="0"/>
            </w:pPr>
            <w:r>
              <w:rPr>
                <w:rFonts w:ascii="Times New Roman" w:hAnsi="Times New Roman"/>
                <w:sz w:val="14"/>
              </w:rPr>
              <w:t>Horn/trumpet blast; “jubilee” noun is not the Hebrew word here.</w:t>
            </w:r>
          </w:p>
        </w:tc>
      </w:tr>
      <w:tr>
        <w:tc>
          <w:tcPr>
            <w:tcW w:type="dxa" w:w="3561"/>
            <w:vAlign w:val="top"/>
          </w:tcPr>
          <w:p>
            <w:pPr>
              <w:spacing w:after="0"/>
            </w:pPr>
            <w:r>
              <w:rPr>
                <w:rFonts w:ascii="Times New Roman" w:hAnsi="Times New Roman"/>
                <w:sz w:val="14"/>
              </w:rPr>
              <w:t>Lev. 25:10</w:t>
            </w:r>
          </w:p>
        </w:tc>
        <w:tc>
          <w:tcPr>
            <w:tcW w:type="dxa" w:w="3561"/>
            <w:vAlign w:val="top"/>
          </w:tcPr>
          <w:p>
            <w:pPr>
              <w:spacing w:after="0"/>
            </w:pPr>
            <w:r>
              <w:rPr>
                <w:rFonts w:ascii="Times New Roman" w:hAnsi="Times New Roman"/>
                <w:sz w:val="14"/>
              </w:rPr>
              <w:t>deror</w:t>
            </w:r>
          </w:p>
        </w:tc>
        <w:tc>
          <w:tcPr>
            <w:tcW w:type="dxa" w:w="3561"/>
            <w:vAlign w:val="top"/>
          </w:tcPr>
          <w:p>
            <w:pPr>
              <w:spacing w:after="0"/>
            </w:pPr>
            <w:r>
              <w:rPr>
                <w:rFonts w:ascii="Times New Roman" w:hAnsi="Times New Roman"/>
                <w:sz w:val="14"/>
              </w:rPr>
              <w:t>Liberty/release proclaimed throughout land.</w:t>
            </w:r>
          </w:p>
        </w:tc>
      </w:tr>
      <w:tr>
        <w:tc>
          <w:tcPr>
            <w:tcW w:type="dxa" w:w="3561"/>
            <w:vAlign w:val="top"/>
          </w:tcPr>
          <w:p>
            <w:pPr>
              <w:spacing w:after="0"/>
            </w:pPr>
            <w:r>
              <w:rPr>
                <w:rFonts w:ascii="Times New Roman" w:hAnsi="Times New Roman"/>
                <w:sz w:val="14"/>
              </w:rPr>
              <w:t>Lev. 25:10</w:t>
            </w:r>
          </w:p>
        </w:tc>
        <w:tc>
          <w:tcPr>
            <w:tcW w:type="dxa" w:w="3561"/>
            <w:vAlign w:val="top"/>
          </w:tcPr>
          <w:p>
            <w:pPr>
              <w:spacing w:after="0"/>
            </w:pPr>
            <w:r>
              <w:rPr>
                <w:rFonts w:ascii="Times New Roman" w:hAnsi="Times New Roman"/>
                <w:sz w:val="14"/>
              </w:rPr>
              <w:t>yobel</w:t>
            </w:r>
          </w:p>
        </w:tc>
        <w:tc>
          <w:tcPr>
            <w:tcW w:type="dxa" w:w="3561"/>
            <w:vAlign w:val="top"/>
          </w:tcPr>
          <w:p>
            <w:pPr>
              <w:spacing w:after="0"/>
            </w:pPr>
            <w:r>
              <w:rPr>
                <w:rFonts w:ascii="Times New Roman" w:hAnsi="Times New Roman"/>
                <w:sz w:val="14"/>
              </w:rPr>
              <w:t>Jubilee year; return to possession and family.</w:t>
            </w:r>
          </w:p>
        </w:tc>
      </w:tr>
      <w:tr>
        <w:tc>
          <w:tcPr>
            <w:tcW w:type="dxa" w:w="3561"/>
            <w:vAlign w:val="top"/>
          </w:tcPr>
          <w:p>
            <w:pPr>
              <w:spacing w:after="0"/>
            </w:pPr>
            <w:r>
              <w:rPr>
                <w:rFonts w:ascii="Times New Roman" w:hAnsi="Times New Roman"/>
                <w:sz w:val="14"/>
              </w:rPr>
              <w:t>Lev. 25:14,17</w:t>
            </w:r>
          </w:p>
        </w:tc>
        <w:tc>
          <w:tcPr>
            <w:tcW w:type="dxa" w:w="3561"/>
            <w:vAlign w:val="top"/>
          </w:tcPr>
          <w:p>
            <w:pPr>
              <w:spacing w:after="0"/>
            </w:pPr>
            <w:r>
              <w:rPr>
                <w:rFonts w:ascii="Times New Roman" w:hAnsi="Times New Roman"/>
                <w:sz w:val="14"/>
              </w:rPr>
              <w:t>yanah</w:t>
            </w:r>
          </w:p>
        </w:tc>
        <w:tc>
          <w:tcPr>
            <w:tcW w:type="dxa" w:w="3561"/>
            <w:vAlign w:val="top"/>
          </w:tcPr>
          <w:p>
            <w:pPr>
              <w:spacing w:after="0"/>
            </w:pPr>
            <w:r>
              <w:rPr>
                <w:rFonts w:ascii="Times New Roman" w:hAnsi="Times New Roman"/>
                <w:sz w:val="14"/>
              </w:rPr>
              <w:t>Oppress/wrong in buying and selling.</w:t>
            </w:r>
          </w:p>
        </w:tc>
      </w:tr>
      <w:tr>
        <w:tc>
          <w:tcPr>
            <w:tcW w:type="dxa" w:w="3561"/>
            <w:vAlign w:val="top"/>
          </w:tcPr>
          <w:p>
            <w:pPr>
              <w:spacing w:after="0"/>
            </w:pPr>
            <w:r>
              <w:rPr>
                <w:rFonts w:ascii="Times New Roman" w:hAnsi="Times New Roman"/>
                <w:sz w:val="14"/>
              </w:rPr>
              <w:t>Lev. 25:21–22</w:t>
            </w:r>
          </w:p>
        </w:tc>
        <w:tc>
          <w:tcPr>
            <w:tcW w:type="dxa" w:w="3561"/>
            <w:vAlign w:val="top"/>
          </w:tcPr>
          <w:p>
            <w:pPr>
              <w:spacing w:after="0"/>
            </w:pPr>
            <w:r>
              <w:rPr>
                <w:rFonts w:ascii="Times New Roman" w:hAnsi="Times New Roman"/>
                <w:sz w:val="14"/>
              </w:rPr>
              <w:t>sixth-year provision</w:t>
            </w:r>
          </w:p>
        </w:tc>
        <w:tc>
          <w:tcPr>
            <w:tcW w:type="dxa" w:w="3561"/>
            <w:vAlign w:val="top"/>
          </w:tcPr>
          <w:p>
            <w:pPr>
              <w:spacing w:after="0"/>
            </w:pPr>
            <w:r>
              <w:rPr>
                <w:rFonts w:ascii="Times New Roman" w:hAnsi="Times New Roman"/>
                <w:sz w:val="14"/>
              </w:rPr>
              <w:t>Covers Sabbath-year food interval until subsequent harvest.</w:t>
            </w:r>
          </w:p>
        </w:tc>
      </w:tr>
      <w:tr>
        <w:tc>
          <w:tcPr>
            <w:tcW w:type="dxa" w:w="3561"/>
            <w:vAlign w:val="top"/>
          </w:tcPr>
          <w:p>
            <w:pPr>
              <w:spacing w:after="0"/>
            </w:pPr>
            <w:r>
              <w:rPr>
                <w:rFonts w:ascii="Times New Roman" w:hAnsi="Times New Roman"/>
                <w:sz w:val="14"/>
              </w:rPr>
              <w:t>Lev. 25:23</w:t>
            </w:r>
          </w:p>
        </w:tc>
        <w:tc>
          <w:tcPr>
            <w:tcW w:type="dxa" w:w="3561"/>
            <w:vAlign w:val="top"/>
          </w:tcPr>
          <w:p>
            <w:pPr>
              <w:spacing w:after="0"/>
            </w:pPr>
            <w:r>
              <w:rPr>
                <w:rFonts w:ascii="Times New Roman" w:hAnsi="Times New Roman"/>
                <w:sz w:val="14"/>
              </w:rPr>
              <w:t>litsmithut</w:t>
            </w:r>
          </w:p>
        </w:tc>
        <w:tc>
          <w:tcPr>
            <w:tcW w:type="dxa" w:w="3561"/>
            <w:vAlign w:val="top"/>
          </w:tcPr>
          <w:p>
            <w:pPr>
              <w:spacing w:after="0"/>
            </w:pPr>
            <w:r>
              <w:rPr>
                <w:rFonts w:ascii="Times New Roman" w:hAnsi="Times New Roman"/>
                <w:sz w:val="14"/>
              </w:rPr>
              <w:t>In perpetuity/permanently; land cannot be alienated forever.</w:t>
            </w:r>
          </w:p>
        </w:tc>
      </w:tr>
      <w:tr>
        <w:tc>
          <w:tcPr>
            <w:tcW w:type="dxa" w:w="3561"/>
            <w:vAlign w:val="top"/>
          </w:tcPr>
          <w:p>
            <w:pPr>
              <w:spacing w:after="0"/>
            </w:pPr>
            <w:r>
              <w:rPr>
                <w:rFonts w:ascii="Times New Roman" w:hAnsi="Times New Roman"/>
                <w:sz w:val="14"/>
              </w:rPr>
              <w:t>Lev. 25:23</w:t>
            </w:r>
          </w:p>
        </w:tc>
        <w:tc>
          <w:tcPr>
            <w:tcW w:type="dxa" w:w="3561"/>
            <w:vAlign w:val="top"/>
          </w:tcPr>
          <w:p>
            <w:pPr>
              <w:spacing w:after="0"/>
            </w:pPr>
            <w:r>
              <w:rPr>
                <w:rFonts w:ascii="Times New Roman" w:hAnsi="Times New Roman"/>
                <w:sz w:val="14"/>
              </w:rPr>
              <w:t>gerim vetoshavim</w:t>
            </w:r>
          </w:p>
        </w:tc>
        <w:tc>
          <w:tcPr>
            <w:tcW w:type="dxa" w:w="3561"/>
            <w:vAlign w:val="top"/>
          </w:tcPr>
          <w:p>
            <w:pPr>
              <w:spacing w:after="0"/>
            </w:pPr>
            <w:r>
              <w:rPr>
                <w:rFonts w:ascii="Times New Roman" w:hAnsi="Times New Roman"/>
                <w:sz w:val="14"/>
              </w:rPr>
              <w:t>Strangers and sojourners/tenants with Yahweh.</w:t>
            </w:r>
          </w:p>
        </w:tc>
      </w:tr>
      <w:tr>
        <w:tc>
          <w:tcPr>
            <w:tcW w:type="dxa" w:w="3561"/>
            <w:vAlign w:val="top"/>
          </w:tcPr>
          <w:p>
            <w:pPr>
              <w:spacing w:after="0"/>
            </w:pPr>
            <w:r>
              <w:rPr>
                <w:rFonts w:ascii="Times New Roman" w:hAnsi="Times New Roman"/>
                <w:sz w:val="14"/>
              </w:rPr>
              <w:t>Lev. 25:24</w:t>
            </w:r>
          </w:p>
        </w:tc>
        <w:tc>
          <w:tcPr>
            <w:tcW w:type="dxa" w:w="3561"/>
            <w:vAlign w:val="top"/>
          </w:tcPr>
          <w:p>
            <w:pPr>
              <w:spacing w:after="0"/>
            </w:pPr>
            <w:r>
              <w:rPr>
                <w:rFonts w:ascii="Times New Roman" w:hAnsi="Times New Roman"/>
                <w:sz w:val="14"/>
              </w:rPr>
              <w:t>geullah</w:t>
            </w:r>
          </w:p>
        </w:tc>
        <w:tc>
          <w:tcPr>
            <w:tcW w:type="dxa" w:w="3561"/>
            <w:vAlign w:val="top"/>
          </w:tcPr>
          <w:p>
            <w:pPr>
              <w:spacing w:after="0"/>
            </w:pPr>
            <w:r>
              <w:rPr>
                <w:rFonts w:ascii="Times New Roman" w:hAnsi="Times New Roman"/>
                <w:sz w:val="14"/>
              </w:rPr>
              <w:t>Right of redemption.</w:t>
            </w:r>
          </w:p>
        </w:tc>
      </w:tr>
      <w:tr>
        <w:tc>
          <w:tcPr>
            <w:tcW w:type="dxa" w:w="3561"/>
            <w:vAlign w:val="top"/>
          </w:tcPr>
          <w:p>
            <w:pPr>
              <w:spacing w:after="0"/>
            </w:pPr>
            <w:r>
              <w:rPr>
                <w:rFonts w:ascii="Times New Roman" w:hAnsi="Times New Roman"/>
                <w:sz w:val="14"/>
              </w:rPr>
              <w:t>Lev. 25:25</w:t>
            </w:r>
          </w:p>
        </w:tc>
        <w:tc>
          <w:tcPr>
            <w:tcW w:type="dxa" w:w="3561"/>
            <w:vAlign w:val="top"/>
          </w:tcPr>
          <w:p>
            <w:pPr>
              <w:spacing w:after="0"/>
            </w:pPr>
            <w:r>
              <w:rPr>
                <w:rFonts w:ascii="Times New Roman" w:hAnsi="Times New Roman"/>
                <w:sz w:val="14"/>
              </w:rPr>
              <w:t>go’el</w:t>
            </w:r>
          </w:p>
        </w:tc>
        <w:tc>
          <w:tcPr>
            <w:tcW w:type="dxa" w:w="3561"/>
            <w:vAlign w:val="top"/>
          </w:tcPr>
          <w:p>
            <w:pPr>
              <w:spacing w:after="0"/>
            </w:pPr>
            <w:r>
              <w:rPr>
                <w:rFonts w:ascii="Times New Roman" w:hAnsi="Times New Roman"/>
                <w:sz w:val="14"/>
              </w:rPr>
              <w:t>Near kinsman-redeemer.</w:t>
            </w:r>
          </w:p>
        </w:tc>
      </w:tr>
      <w:tr>
        <w:tc>
          <w:tcPr>
            <w:tcW w:type="dxa" w:w="3561"/>
            <w:vAlign w:val="top"/>
          </w:tcPr>
          <w:p>
            <w:pPr>
              <w:spacing w:after="0"/>
            </w:pPr>
            <w:r>
              <w:rPr>
                <w:rFonts w:ascii="Times New Roman" w:hAnsi="Times New Roman"/>
                <w:sz w:val="14"/>
              </w:rPr>
              <w:t>Lev. 25:29–30</w:t>
            </w:r>
          </w:p>
        </w:tc>
        <w:tc>
          <w:tcPr>
            <w:tcW w:type="dxa" w:w="3561"/>
            <w:vAlign w:val="top"/>
          </w:tcPr>
          <w:p>
            <w:pPr>
              <w:spacing w:after="0"/>
            </w:pPr>
            <w:r>
              <w:rPr>
                <w:rFonts w:ascii="Times New Roman" w:hAnsi="Times New Roman"/>
                <w:sz w:val="14"/>
              </w:rPr>
              <w:t>walled-city house</w:t>
            </w:r>
          </w:p>
        </w:tc>
        <w:tc>
          <w:tcPr>
            <w:tcW w:type="dxa" w:w="3561"/>
            <w:vAlign w:val="top"/>
          </w:tcPr>
          <w:p>
            <w:pPr>
              <w:spacing w:after="0"/>
            </w:pPr>
            <w:r>
              <w:rPr>
                <w:rFonts w:ascii="Times New Roman" w:hAnsi="Times New Roman"/>
                <w:sz w:val="14"/>
              </w:rPr>
              <w:t>One-year redemption; then no Jubilee return.</w:t>
            </w:r>
          </w:p>
        </w:tc>
      </w:tr>
      <w:tr>
        <w:tc>
          <w:tcPr>
            <w:tcW w:type="dxa" w:w="3561"/>
            <w:vAlign w:val="top"/>
          </w:tcPr>
          <w:p>
            <w:pPr>
              <w:spacing w:after="0"/>
            </w:pPr>
            <w:r>
              <w:rPr>
                <w:rFonts w:ascii="Times New Roman" w:hAnsi="Times New Roman"/>
                <w:sz w:val="14"/>
              </w:rPr>
              <w:t>Lev. 25:32–34</w:t>
            </w:r>
          </w:p>
        </w:tc>
        <w:tc>
          <w:tcPr>
            <w:tcW w:type="dxa" w:w="3561"/>
            <w:vAlign w:val="top"/>
          </w:tcPr>
          <w:p>
            <w:pPr>
              <w:spacing w:after="0"/>
            </w:pPr>
            <w:r>
              <w:rPr>
                <w:rFonts w:ascii="Times New Roman" w:hAnsi="Times New Roman"/>
                <w:sz w:val="14"/>
              </w:rPr>
              <w:t>Levite cities</w:t>
            </w:r>
          </w:p>
        </w:tc>
        <w:tc>
          <w:tcPr>
            <w:tcW w:type="dxa" w:w="3561"/>
            <w:vAlign w:val="top"/>
          </w:tcPr>
          <w:p>
            <w:pPr>
              <w:spacing w:after="0"/>
            </w:pPr>
            <w:r>
              <w:rPr>
                <w:rFonts w:ascii="Times New Roman" w:hAnsi="Times New Roman"/>
                <w:sz w:val="14"/>
              </w:rPr>
              <w:t>Continuing redemption/protected possession.</w:t>
            </w:r>
          </w:p>
        </w:tc>
      </w:tr>
      <w:tr>
        <w:tc>
          <w:tcPr>
            <w:tcW w:type="dxa" w:w="3561"/>
            <w:vAlign w:val="top"/>
          </w:tcPr>
          <w:p>
            <w:pPr>
              <w:spacing w:after="0"/>
            </w:pPr>
            <w:r>
              <w:rPr>
                <w:rFonts w:ascii="Times New Roman" w:hAnsi="Times New Roman"/>
                <w:sz w:val="14"/>
              </w:rPr>
              <w:t>Lev. 25:36–37</w:t>
            </w:r>
          </w:p>
        </w:tc>
        <w:tc>
          <w:tcPr>
            <w:tcW w:type="dxa" w:w="3561"/>
            <w:vAlign w:val="top"/>
          </w:tcPr>
          <w:p>
            <w:pPr>
              <w:spacing w:after="0"/>
            </w:pPr>
            <w:r>
              <w:rPr>
                <w:rFonts w:ascii="Times New Roman" w:hAnsi="Times New Roman"/>
                <w:sz w:val="14"/>
              </w:rPr>
              <w:t>neshekh / tarbit</w:t>
            </w:r>
          </w:p>
        </w:tc>
        <w:tc>
          <w:tcPr>
            <w:tcW w:type="dxa" w:w="3561"/>
            <w:vAlign w:val="top"/>
          </w:tcPr>
          <w:p>
            <w:pPr>
              <w:spacing w:after="0"/>
            </w:pPr>
            <w:r>
              <w:rPr>
                <w:rFonts w:ascii="Times New Roman" w:hAnsi="Times New Roman"/>
                <w:sz w:val="14"/>
              </w:rPr>
              <w:t>Interest / increase on relief to poor brother prohibited.</w:t>
            </w:r>
          </w:p>
        </w:tc>
      </w:tr>
      <w:tr>
        <w:tc>
          <w:tcPr>
            <w:tcW w:type="dxa" w:w="3561"/>
            <w:vAlign w:val="top"/>
          </w:tcPr>
          <w:p>
            <w:pPr>
              <w:spacing w:after="0"/>
            </w:pPr>
            <w:r>
              <w:rPr>
                <w:rFonts w:ascii="Times New Roman" w:hAnsi="Times New Roman"/>
                <w:sz w:val="14"/>
              </w:rPr>
              <w:t>Lev. 25:42</w:t>
            </w:r>
          </w:p>
        </w:tc>
        <w:tc>
          <w:tcPr>
            <w:tcW w:type="dxa" w:w="3561"/>
            <w:vAlign w:val="top"/>
          </w:tcPr>
          <w:p>
            <w:pPr>
              <w:spacing w:after="0"/>
            </w:pPr>
            <w:r>
              <w:rPr>
                <w:rFonts w:ascii="Times New Roman" w:hAnsi="Times New Roman"/>
                <w:sz w:val="14"/>
              </w:rPr>
              <w:t>Yahweh’s servants</w:t>
            </w:r>
          </w:p>
        </w:tc>
        <w:tc>
          <w:tcPr>
            <w:tcW w:type="dxa" w:w="3561"/>
            <w:vAlign w:val="top"/>
          </w:tcPr>
          <w:p>
            <w:pPr>
              <w:spacing w:after="0"/>
            </w:pPr>
            <w:r>
              <w:rPr>
                <w:rFonts w:ascii="Times New Roman" w:hAnsi="Times New Roman"/>
                <w:sz w:val="14"/>
              </w:rPr>
              <w:t>Exodus ownership limits Israelite enslavement.</w:t>
            </w:r>
          </w:p>
        </w:tc>
      </w:tr>
      <w:tr>
        <w:tc>
          <w:tcPr>
            <w:tcW w:type="dxa" w:w="3561"/>
            <w:vAlign w:val="top"/>
          </w:tcPr>
          <w:p>
            <w:pPr>
              <w:spacing w:after="0"/>
            </w:pPr>
            <w:r>
              <w:rPr>
                <w:rFonts w:ascii="Times New Roman" w:hAnsi="Times New Roman"/>
                <w:sz w:val="14"/>
              </w:rPr>
              <w:t>Lev. 25:44–46</w:t>
            </w:r>
          </w:p>
        </w:tc>
        <w:tc>
          <w:tcPr>
            <w:tcW w:type="dxa" w:w="3561"/>
            <w:vAlign w:val="top"/>
          </w:tcPr>
          <w:p>
            <w:pPr>
              <w:spacing w:after="0"/>
            </w:pPr>
            <w:r>
              <w:rPr>
                <w:rFonts w:ascii="Times New Roman" w:hAnsi="Times New Roman"/>
                <w:sz w:val="14"/>
              </w:rPr>
              <w:t>foreign bondservants</w:t>
            </w:r>
          </w:p>
        </w:tc>
        <w:tc>
          <w:tcPr>
            <w:tcW w:type="dxa" w:w="3561"/>
            <w:vAlign w:val="top"/>
          </w:tcPr>
          <w:p>
            <w:pPr>
              <w:spacing w:after="0"/>
            </w:pPr>
            <w:r>
              <w:rPr>
                <w:rFonts w:ascii="Times New Roman" w:hAnsi="Times New Roman"/>
                <w:sz w:val="14"/>
              </w:rPr>
              <w:t>Ancient law permits hereditary foreign servitude; describe, do not modernise away.</w:t>
            </w:r>
          </w:p>
        </w:tc>
      </w:tr>
      <w:tr>
        <w:tc>
          <w:tcPr>
            <w:tcW w:type="dxa" w:w="3561"/>
            <w:vAlign w:val="top"/>
          </w:tcPr>
          <w:p>
            <w:pPr>
              <w:spacing w:after="0"/>
            </w:pPr>
            <w:r>
              <w:rPr>
                <w:rFonts w:ascii="Times New Roman" w:hAnsi="Times New Roman"/>
                <w:sz w:val="14"/>
              </w:rPr>
              <w:t>Lev. 25:43,53</w:t>
            </w:r>
          </w:p>
        </w:tc>
        <w:tc>
          <w:tcPr>
            <w:tcW w:type="dxa" w:w="3561"/>
            <w:vAlign w:val="top"/>
          </w:tcPr>
          <w:p>
            <w:pPr>
              <w:spacing w:after="0"/>
            </w:pPr>
            <w:r>
              <w:rPr>
                <w:rFonts w:ascii="Times New Roman" w:hAnsi="Times New Roman"/>
                <w:sz w:val="14"/>
              </w:rPr>
              <w:t>parekh</w:t>
            </w:r>
          </w:p>
        </w:tc>
        <w:tc>
          <w:tcPr>
            <w:tcW w:type="dxa" w:w="3561"/>
            <w:vAlign w:val="top"/>
          </w:tcPr>
          <w:p>
            <w:pPr>
              <w:spacing w:after="0"/>
            </w:pPr>
            <w:r>
              <w:rPr>
                <w:rFonts w:ascii="Times New Roman" w:hAnsi="Times New Roman"/>
                <w:sz w:val="14"/>
              </w:rPr>
              <w:t>Rigour/crushing rule prohibited toward Israelite servant.</w:t>
            </w:r>
          </w:p>
        </w:tc>
      </w:tr>
      <w:tr>
        <w:tc>
          <w:tcPr>
            <w:tcW w:type="dxa" w:w="3561"/>
            <w:vAlign w:val="top"/>
          </w:tcPr>
          <w:p>
            <w:pPr>
              <w:spacing w:after="0"/>
            </w:pPr>
            <w:r>
              <w:rPr>
                <w:rFonts w:ascii="Times New Roman" w:hAnsi="Times New Roman"/>
                <w:sz w:val="14"/>
              </w:rPr>
              <w:t>Isa. 61:1–2; Luke 4:18–21</w:t>
            </w:r>
          </w:p>
        </w:tc>
        <w:tc>
          <w:tcPr>
            <w:tcW w:type="dxa" w:w="3561"/>
            <w:vAlign w:val="top"/>
          </w:tcPr>
          <w:p>
            <w:pPr>
              <w:spacing w:after="0"/>
            </w:pPr>
            <w:r>
              <w:rPr>
                <w:rFonts w:ascii="Times New Roman" w:hAnsi="Times New Roman"/>
                <w:sz w:val="14"/>
              </w:rPr>
              <w:t>liberty proclamation</w:t>
            </w:r>
          </w:p>
        </w:tc>
        <w:tc>
          <w:tcPr>
            <w:tcW w:type="dxa" w:w="3561"/>
            <w:vAlign w:val="top"/>
          </w:tcPr>
          <w:p>
            <w:pPr>
              <w:spacing w:after="0"/>
            </w:pPr>
            <w:r>
              <w:rPr>
                <w:rFonts w:ascii="Times New Roman" w:hAnsi="Times New Roman"/>
                <w:sz w:val="14"/>
              </w:rPr>
              <w:t>Secure wider redemption/Jubilee resonance.</w:t>
            </w:r>
          </w:p>
        </w:tc>
      </w:tr>
    </w:tbl>
    <w:p>
      <w:pPr>
        <w:pStyle w:val="Heading1"/>
      </w:pPr>
      <w:r>
        <w:t>RESIDUAL UNCERTAINTIES</w:t>
      </w:r>
    </w:p>
    <w:p>
      <w:pPr/>
      <w:r>
        <w:rPr>
          <w:i w:val="0"/>
        </w:rPr>
        <w:t>The relationship of the fiftieth Jubilee year to the next seven-year cycle has been debated. The social status and lived conditions of foreign bondservants varied across the ancient world and cannot be reconstructed fully from this chapter alone. Mansfield’s millennial applications remain typology; the chapter’s direct legal concerns are land, family, poverty, debt, service and Yahweh’s ownership.</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