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26</w:t>
      </w:r>
    </w:p>
    <w:p>
      <w:pPr>
        <w:pStyle w:val="Subtitle"/>
      </w:pPr>
      <w:r>
        <w:t>COVENANT BLESSING AND CURSE • IDOLATRY AND SABBATH • RAIN, PEACE AND DIVINE PRESENCE • ESCALATING DISCIPLINE • LAND SABBATHS • SCATTERING • CONFESSION • COVENANT REMEMBRANCE</w:t>
      </w:r>
    </w:p>
    <w:p>
      <w:pPr/>
      <w:r>
        <w:rPr>
          <w:i/>
        </w:rPr>
        <w:t>H. P. Mansfield Bible notes — checked and arranged in verse-by-verse Expositor style</w:t>
      </w:r>
    </w:p>
    <w:p>
      <w:pPr/>
      <w:r>
        <w:rPr>
          <w:i w:val="0"/>
        </w:rPr>
        <w:t>Source: HPB03 Leviticus 26 annotated pages; cross-checked with Mansfield Expositor Chapter 26</w:t>
      </w:r>
    </w:p>
    <w:p>
      <w:pPr>
        <w:pStyle w:val="Heading1"/>
      </w:pPr>
      <w:r>
        <w:t>CHAPTER OVERVIEW</w:t>
      </w:r>
    </w:p>
    <w:p>
      <w:pPr/>
      <w:r>
        <w:rPr>
          <w:i w:val="0"/>
        </w:rPr>
        <w:t>Leviticus 26 applies Israel’s holiness obligations nationally. Obedience brings rain, harvest, security, peace and—above all—Yahweh dwelling and walking among His people. Persistent rebellion progressively removes those blessings and culminates in desolation and scattering.</w:t>
      </w:r>
    </w:p>
    <w:p>
      <w:pPr/>
      <w:r>
        <w:rPr>
          <w:i w:val="0"/>
        </w:rPr>
        <w:t>The chapter does not end with annihilation. Confession, humbled hearts and covenant remembrance leave a path toward restoration, and Yahweh explicitly says He will not utterly reject Israel in enemy lands so as to break His covenant.</w:t>
      </w:r>
    </w:p>
    <w:p>
      <w:pPr>
        <w:pStyle w:val="Heading1"/>
      </w:pPr>
      <w:r>
        <w:t>COVENANT FUNDAMENTALS — LEVITICUS 26:1–2</w:t>
      </w:r>
    </w:p>
    <w:p>
      <w:pPr>
        <w:pStyle w:val="Heading2"/>
      </w:pPr>
      <w:r>
        <w:t>Leviticus 26:1 — no rival cult images</w:t>
      </w:r>
    </w:p>
    <w:p>
      <w:pPr/>
      <w:r>
        <w:rPr>
          <w:i w:val="0"/>
        </w:rPr>
        <w:t>Israel must make no ’elilim, idols/worthless gods, no pesel, carved image, no matstsebah, cult pillar, and no ’even maskit, figured/patterned stone for prostration.</w:t>
      </w:r>
    </w:p>
    <w:p>
      <w:pPr/>
      <w:r>
        <w:rPr>
          <w:i w:val="0"/>
        </w:rPr>
        <w:t>Mansfield’s “nothings” for ’elilim captures the polemical force but should not be treated as a complete lexical definition.</w:t>
      </w:r>
    </w:p>
    <w:p>
      <w:pPr>
        <w:pStyle w:val="Heading2"/>
      </w:pPr>
      <w:r>
        <w:t>Leviticus 26:2 — Sabbaths and sanctuary</w:t>
      </w:r>
    </w:p>
    <w:p>
      <w:pPr/>
      <w:r>
        <w:rPr>
          <w:i w:val="0"/>
        </w:rPr>
        <w:t>Israel must keep Yahweh’s Sabbaths and reverence His sanctuary. Sacred time and sacred space stand as covenant signs of allegiance.</w:t>
      </w:r>
    </w:p>
    <w:p>
      <w:pPr>
        <w:pStyle w:val="Heading1"/>
      </w:pPr>
      <w:r>
        <w:t>BLESSING FOR OBEDIENCE — LEVITICUS 26:3–13</w:t>
      </w:r>
    </w:p>
    <w:p>
      <w:pPr>
        <w:pStyle w:val="Heading2"/>
      </w:pPr>
      <w:r>
        <w:t>Leviticus 26:3–5 — rain, harvest and food security</w:t>
      </w:r>
    </w:p>
    <w:p>
      <w:pPr/>
      <w:r>
        <w:rPr>
          <w:i w:val="0"/>
        </w:rPr>
        <w:t>If Israel walks in Yahweh’s statutes, keeps His commandments and does them, seasonal rains come, land and trees yield, and threshing and vintage overlap in abundance.</w:t>
      </w:r>
    </w:p>
    <w:p>
      <w:pPr/>
      <w:r>
        <w:rPr>
          <w:i w:val="0"/>
        </w:rPr>
        <w:t>The blessing is covenantal, not a universal promise that every faithful individual will always experience material prosperity.</w:t>
      </w:r>
    </w:p>
    <w:p>
      <w:pPr>
        <w:pStyle w:val="Heading2"/>
      </w:pPr>
      <w:r>
        <w:t>Leviticus 26:6–10 — peace, safety and fruitfulness</w:t>
      </w:r>
    </w:p>
    <w:p>
      <w:pPr/>
      <w:r>
        <w:rPr>
          <w:i w:val="0"/>
        </w:rPr>
        <w:t>Yahweh gives shalom in the land, removes dangerous threats, prevents the sword passing through, and grants victory disproportionate to Israel’s numbers. He turns His face toward them, makes them fruitful and confirms His covenant.</w:t>
      </w:r>
    </w:p>
    <w:p>
      <w:pPr/>
      <w:r>
        <w:rPr>
          <w:i w:val="0"/>
        </w:rPr>
        <w:t>The “five chase a hundred” language is proverbial covenant victory language rather than a mathematical combat guarantee.</w:t>
      </w:r>
    </w:p>
    <w:p>
      <w:pPr>
        <w:pStyle w:val="Heading2"/>
      </w:pPr>
      <w:r>
        <w:t>Leviticus 26:11–12 — the climax: Yahweh dwells and walks among them</w:t>
      </w:r>
    </w:p>
    <w:p>
      <w:pPr/>
      <w:r>
        <w:rPr>
          <w:i w:val="0"/>
        </w:rPr>
        <w:t>Yahweh sets His mishkan, dwelling/tabernacle, among Israel and says, “I will walk among you, and will be your God, and ye shall be my people.” Nephesh in “my soul shall not abhor you” is idiomatic for Yahweh’s own person/self, not evidence that God has a mortal or immortal human-style soul.</w:t>
      </w:r>
    </w:p>
    <w:p>
      <w:pPr/>
      <w:r>
        <w:rPr>
          <w:i w:val="0"/>
        </w:rPr>
        <w:t>Second Corinthians 6:16 directly quotes the “dwell/walk … my people” language in an ecclesial holiness exhortation.</w:t>
      </w:r>
    </w:p>
    <w:p>
      <w:pPr>
        <w:pStyle w:val="Heading2"/>
      </w:pPr>
      <w:r>
        <w:t>Leviticus 26:13 — redeemed from Egypt to walk erect</w:t>
      </w:r>
    </w:p>
    <w:p>
      <w:pPr/>
      <w:r>
        <w:rPr>
          <w:i w:val="0"/>
        </w:rPr>
        <w:t>Yahweh broke the bars/bonds of Egypt’s yoke and made Israel walk qomemiyut, upright/erect. Liberation is not autonomy; it enables covenant service to the Redeemer.</w:t>
      </w:r>
    </w:p>
    <w:p>
      <w:pPr>
        <w:pStyle w:val="Heading1"/>
      </w:pPr>
      <w:r>
        <w:t>ESCALATING COVENANT DISCIPLINE — LEVITICUS 26:14–39</w:t>
      </w:r>
    </w:p>
    <w:p>
      <w:pPr>
        <w:pStyle w:val="Heading2"/>
      </w:pPr>
      <w:r>
        <w:t>Leviticus 26:14–17 — first removal of protection</w:t>
      </w:r>
    </w:p>
    <w:p>
      <w:pPr/>
      <w:r>
        <w:rPr>
          <w:i w:val="0"/>
        </w:rPr>
        <w:t>Refusal to listen, rejection of statutes and covenant-breaking bring terror, wasting disease/fever, failed harvests and defeat. Yahweh’s face, formerly turned toward Israel for blessing, is now set against them.</w:t>
      </w:r>
    </w:p>
    <w:p>
      <w:pPr>
        <w:pStyle w:val="Heading2"/>
      </w:pPr>
      <w:r>
        <w:t>Leviticus 26:18–20 — “seven times” and broken pride</w:t>
      </w:r>
    </w:p>
    <w:p>
      <w:pPr/>
      <w:r>
        <w:rPr>
          <w:i w:val="0"/>
        </w:rPr>
        <w:t>If Israel remains unresponsive, Yahweh says He will chastise them “seven times” for sins, make heaven like iron and earth like bronze, and cause strength to be spent in vain.</w:t>
      </w:r>
    </w:p>
    <w:p>
      <w:pPr/>
      <w:r>
        <w:rPr>
          <w:i w:val="0"/>
        </w:rPr>
        <w:t>The repeated “seven times” is naturally intensified/sevenfold covenant punishment. Mansfield’s division into successive numbered stages is useful exposition, but the text should not be forced into a rigid chronological seven-stage timetable.</w:t>
      </w:r>
    </w:p>
    <w:p>
      <w:pPr>
        <w:pStyle w:val="Heading2"/>
      </w:pPr>
      <w:r>
        <w:t>Leviticus 26:21–26 — beasts, sword, pestilence and famine</w:t>
      </w:r>
    </w:p>
    <w:p>
      <w:pPr/>
      <w:r>
        <w:rPr>
          <w:i w:val="0"/>
        </w:rPr>
        <w:t>Continued qeri, contrary/hostile walking, brings intensified plagues, dangerous beasts, the covenant-avenging sword, pestilence and bread scarcity. Ten women baking in one oven portrays severe shortage.</w:t>
      </w:r>
    </w:p>
    <w:p>
      <w:pPr/>
      <w:r>
        <w:rPr>
          <w:i w:val="0"/>
        </w:rPr>
        <w:t>The phrase “avenge the quarrel of my covenant” is better understood as execute covenant vengeance/judgment for violation, not a personal quarrel in the modern sense.</w:t>
      </w:r>
    </w:p>
    <w:p>
      <w:pPr>
        <w:pStyle w:val="Heading2"/>
      </w:pPr>
      <w:r>
        <w:t>Leviticus 26:27–33 — extreme famine, destroyed cult centres and scattering</w:t>
      </w:r>
    </w:p>
    <w:p>
      <w:pPr/>
      <w:r>
        <w:rPr>
          <w:i w:val="0"/>
        </w:rPr>
        <w:t>Persistent rebellion culminates in the horrifying siege curse of eating sons and daughters, destruction of high places and cult images, devastated sanctuaries/cities, and scattering among the nations.</w:t>
      </w:r>
    </w:p>
    <w:p>
      <w:pPr/>
      <w:r>
        <w:rPr>
          <w:i w:val="0"/>
        </w:rPr>
        <w:t>These are covenant curse warnings, not instructions. Their horror is part of the chapter’s appeal to turn before judgment reaches its extreme.</w:t>
      </w:r>
    </w:p>
    <w:p>
      <w:pPr>
        <w:pStyle w:val="Heading2"/>
      </w:pPr>
      <w:r>
        <w:t>Leviticus 26:34–39 — the land enjoys the Sabbaths denied to it</w:t>
      </w:r>
    </w:p>
    <w:p>
      <w:pPr/>
      <w:r>
        <w:rPr>
          <w:i w:val="0"/>
        </w:rPr>
        <w:t>While Israel is scattered, the desolate land enjoys its Sabbaths. Second Chronicles 36:20–21 later explicitly interprets the Babylonian exile in relation to this Levitical warning.</w:t>
      </w:r>
    </w:p>
    <w:p>
      <w:pPr/>
      <w:r>
        <w:rPr>
          <w:i w:val="0"/>
        </w:rPr>
        <w:t>Those remaining in enemy lands experience fear, weakness and pining away because of iniquity.</w:t>
      </w:r>
    </w:p>
    <w:p>
      <w:pPr>
        <w:pStyle w:val="Heading1"/>
      </w:pPr>
      <w:r>
        <w:t>CONFESSION AND COVENANT REMEMBRANCE — LEVITICUS 26:40–46</w:t>
      </w:r>
    </w:p>
    <w:p>
      <w:pPr>
        <w:pStyle w:val="Heading2"/>
      </w:pPr>
      <w:r>
        <w:t>Leviticus 26:40–41 — confession, humbled heart, acceptance of judgment</w:t>
      </w:r>
    </w:p>
    <w:p>
      <w:pPr/>
      <w:r>
        <w:rPr>
          <w:i w:val="0"/>
        </w:rPr>
        <w:t>The turn begins when Israel hitvaddah, confesses, its iniquity and that of the fathers, acknowledges treachery and contrary walking, and the uncircumcised heart is humbled.</w:t>
      </w:r>
    </w:p>
    <w:p>
      <w:pPr/>
      <w:r>
        <w:rPr>
          <w:i w:val="0"/>
        </w:rPr>
        <w:t>The difficult phrase yirtzu et-avonam can express accepting/bearing the consequence or making satisfaction for iniquity. Mansfield’s “accept the punishment” is a reasonable contextual sense, but should not be turned into self-atonement apart from Yahweh’s covenant mercy.</w:t>
      </w:r>
    </w:p>
    <w:p>
      <w:pPr>
        <w:pStyle w:val="Heading2"/>
      </w:pPr>
      <w:r>
        <w:t>Leviticus 26:42 — Jacob, Isaac, Abraham and the land remembered</w:t>
      </w:r>
    </w:p>
    <w:p>
      <w:pPr/>
      <w:r>
        <w:rPr>
          <w:i w:val="0"/>
        </w:rPr>
        <w:t>Yahweh says He will remember His covenant with Jacob, Isaac and Abraham, and remember the land. The patriarchs are named in reverse ancestral order, but the text does not explain why.</w:t>
      </w:r>
    </w:p>
    <w:p>
      <w:pPr>
        <w:pStyle w:val="Heading2"/>
      </w:pPr>
      <w:r>
        <w:t>Leviticus 26:43–45 — punished yet not utterly rejected</w:t>
      </w:r>
    </w:p>
    <w:p>
      <w:pPr/>
      <w:r>
        <w:rPr>
          <w:i w:val="0"/>
        </w:rPr>
        <w:t>Even after land desolation and national punishment, Yahweh promises that in enemy lands He will not utterly reject or abhor Israel so as to destroy them completely and break His covenant.</w:t>
      </w:r>
    </w:p>
    <w:p>
      <w:pPr/>
      <w:r>
        <w:rPr>
          <w:i w:val="0"/>
        </w:rPr>
        <w:t>He remembers the covenant of the ancestors whom He brought from Egypt before the nations. This provides strong biblical basis for Mansfield’s emphasis on Israel’s preservation despite judgment.</w:t>
      </w:r>
    </w:p>
    <w:p>
      <w:pPr>
        <w:pStyle w:val="Heading2"/>
      </w:pPr>
      <w:r>
        <w:t>Leviticus 26:46 — Sinai conclusion</w:t>
      </w:r>
    </w:p>
    <w:p>
      <w:pPr/>
      <w:r>
        <w:rPr>
          <w:i w:val="0"/>
        </w:rPr>
        <w:t>The chapter closes: these are the statutes, judgments and laws established between Yahweh and Israel at Sinai by Moses.</w:t>
      </w:r>
    </w:p>
    <w:p>
      <w:pPr/>
      <w:r>
        <w:rPr>
          <w:i w:val="0"/>
        </w:rPr>
        <w:t>Mansfield’s title “Levitical Covenant” is an editorial description, not the chapter’s own formal covenant-name.</w:t>
      </w:r>
    </w:p>
    <w:p>
      <w:pPr>
        <w:pStyle w:val="Heading1"/>
      </w:pPr>
      <w:r>
        <w:t>BLESSING FULFILLED IN FELLOWSHIP</w:t>
      </w:r>
    </w:p>
    <w:p>
      <w:pPr>
        <w:pStyle w:val="Heading2"/>
      </w:pPr>
      <w:r>
        <w:t>The true climax is Divine presence</w:t>
      </w:r>
    </w:p>
    <w:p>
      <w:pPr/>
      <w:r>
        <w:rPr>
          <w:i w:val="0"/>
        </w:rPr>
        <w:t>Material blessing is secondary to the covenant climax: “I will walk among you.” Revelation 21:3 echoes the same ultimate biblical hope of God dwelling with His people, while the Levitical promise first belongs to Israel’s land covenant.</w:t>
      </w:r>
    </w:p>
    <w:p>
      <w:pPr>
        <w:pStyle w:val="Heading1"/>
      </w:pPr>
      <w:r>
        <w:t>PRINCIPAL THEMES</w:t>
      </w:r>
    </w:p>
    <w:p>
      <w:pPr>
        <w:ind w:left="259" w:hanging="202"/>
      </w:pPr>
      <w:r>
        <w:rPr>
          <w:b/>
        </w:rPr>
        <w:t xml:space="preserve">• </w:t>
      </w:r>
      <w:r>
        <w:t>Covenant holiness begins with exclusive worship, Sabbath and sanctuary reverence.</w:t>
      </w:r>
    </w:p>
    <w:p>
      <w:pPr>
        <w:ind w:left="259" w:hanging="202"/>
      </w:pPr>
      <w:r>
        <w:rPr>
          <w:b/>
        </w:rPr>
        <w:t xml:space="preserve">• </w:t>
      </w:r>
      <w:r>
        <w:t>Material blessings are covenant promises to Israel nationally, not a prosperity guarantee for every faithful individual.</w:t>
      </w:r>
    </w:p>
    <w:p>
      <w:pPr>
        <w:ind w:left="259" w:hanging="202"/>
      </w:pPr>
      <w:r>
        <w:rPr>
          <w:b/>
        </w:rPr>
        <w:t xml:space="preserve">• </w:t>
      </w:r>
      <w:r>
        <w:t>The highest blessing is Yahweh dwelling and walking among His people.</w:t>
      </w:r>
    </w:p>
    <w:p>
      <w:pPr>
        <w:ind w:left="259" w:hanging="202"/>
      </w:pPr>
      <w:r>
        <w:rPr>
          <w:b/>
        </w:rPr>
        <w:t xml:space="preserve">• </w:t>
      </w:r>
      <w:r>
        <w:t>Nephesh in “my soul shall not abhor you” is idiomatic Divine self-reference, not human anthropology.</w:t>
      </w:r>
    </w:p>
    <w:p>
      <w:pPr>
        <w:ind w:left="259" w:hanging="202"/>
      </w:pPr>
      <w:r>
        <w:rPr>
          <w:b/>
        </w:rPr>
        <w:t xml:space="preserve">• </w:t>
      </w:r>
      <w:r>
        <w:t>“Seven times” expresses intensified/sevenfold punishment; a rigid seven-stage chronology is not required.</w:t>
      </w:r>
    </w:p>
    <w:p>
      <w:pPr>
        <w:ind w:left="259" w:hanging="202"/>
      </w:pPr>
      <w:r>
        <w:rPr>
          <w:b/>
        </w:rPr>
        <w:t xml:space="preserve">• </w:t>
      </w:r>
      <w:r>
        <w:t>Persistent rebellion progressively removes fertility, safety, population, sanctuary and land possession.</w:t>
      </w:r>
    </w:p>
    <w:p>
      <w:pPr>
        <w:ind w:left="259" w:hanging="202"/>
      </w:pPr>
      <w:r>
        <w:rPr>
          <w:b/>
        </w:rPr>
        <w:t xml:space="preserve">• </w:t>
      </w:r>
      <w:r>
        <w:t>Second Chronicles explicitly links exile with the land enjoying its missed Sabbaths.</w:t>
      </w:r>
    </w:p>
    <w:p>
      <w:pPr>
        <w:ind w:left="259" w:hanging="202"/>
      </w:pPr>
      <w:r>
        <w:rPr>
          <w:b/>
        </w:rPr>
        <w:t xml:space="preserve">• </w:t>
      </w:r>
      <w:r>
        <w:t>Restoration begins with confession and humbled hearts rather than self-justification.</w:t>
      </w:r>
    </w:p>
    <w:p>
      <w:pPr>
        <w:ind w:left="259" w:hanging="202"/>
      </w:pPr>
      <w:r>
        <w:rPr>
          <w:b/>
        </w:rPr>
        <w:t xml:space="preserve">• </w:t>
      </w:r>
      <w:r>
        <w:t>Yahweh explicitly promises not to destroy Israel utterly in enemy lands so as to break His covenant.</w:t>
      </w:r>
    </w:p>
    <w:p>
      <w:pPr>
        <w:ind w:left="259" w:hanging="202"/>
      </w:pPr>
      <w:r>
        <w:rPr>
          <w:b/>
        </w:rPr>
        <w:t xml:space="preserve">• </w:t>
      </w:r>
      <w:r>
        <w:t>The book’s national judgment section ends with covenant remembrance, not abandonment.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26:1</w:t>
            </w:r>
          </w:p>
        </w:tc>
        <w:tc>
          <w:tcPr>
            <w:tcW w:type="dxa" w:w="3561"/>
            <w:vAlign w:val="top"/>
          </w:tcPr>
          <w:p>
            <w:pPr>
              <w:spacing w:after="0"/>
            </w:pPr>
            <w:r>
              <w:rPr>
                <w:rFonts w:ascii="Times New Roman" w:hAnsi="Times New Roman"/>
                <w:sz w:val="14"/>
              </w:rPr>
              <w:t>’elilim</w:t>
            </w:r>
          </w:p>
        </w:tc>
        <w:tc>
          <w:tcPr>
            <w:tcW w:type="dxa" w:w="3561"/>
            <w:vAlign w:val="top"/>
          </w:tcPr>
          <w:p>
            <w:pPr>
              <w:spacing w:after="0"/>
            </w:pPr>
            <w:r>
              <w:rPr>
                <w:rFonts w:ascii="Times New Roman" w:hAnsi="Times New Roman"/>
                <w:sz w:val="14"/>
              </w:rPr>
              <w:t>Idols/worthless gods; Mansfield “nothings” is polemical gloss.</w:t>
            </w:r>
          </w:p>
        </w:tc>
      </w:tr>
      <w:tr>
        <w:tc>
          <w:tcPr>
            <w:tcW w:type="dxa" w:w="3561"/>
            <w:vAlign w:val="top"/>
          </w:tcPr>
          <w:p>
            <w:pPr>
              <w:spacing w:after="0"/>
            </w:pPr>
            <w:r>
              <w:rPr>
                <w:rFonts w:ascii="Times New Roman" w:hAnsi="Times New Roman"/>
                <w:sz w:val="14"/>
              </w:rPr>
              <w:t>Lev. 26:1</w:t>
            </w:r>
          </w:p>
        </w:tc>
        <w:tc>
          <w:tcPr>
            <w:tcW w:type="dxa" w:w="3561"/>
            <w:vAlign w:val="top"/>
          </w:tcPr>
          <w:p>
            <w:pPr>
              <w:spacing w:after="0"/>
            </w:pPr>
            <w:r>
              <w:rPr>
                <w:rFonts w:ascii="Times New Roman" w:hAnsi="Times New Roman"/>
                <w:sz w:val="14"/>
              </w:rPr>
              <w:t>pesel / matstsebah / ’even maskit</w:t>
            </w:r>
          </w:p>
        </w:tc>
        <w:tc>
          <w:tcPr>
            <w:tcW w:type="dxa" w:w="3561"/>
            <w:vAlign w:val="top"/>
          </w:tcPr>
          <w:p>
            <w:pPr>
              <w:spacing w:after="0"/>
            </w:pPr>
            <w:r>
              <w:rPr>
                <w:rFonts w:ascii="Times New Roman" w:hAnsi="Times New Roman"/>
                <w:sz w:val="14"/>
              </w:rPr>
              <w:t>Carved image / cult pillar / figured-patterned stone.</w:t>
            </w:r>
          </w:p>
        </w:tc>
      </w:tr>
      <w:tr>
        <w:tc>
          <w:tcPr>
            <w:tcW w:type="dxa" w:w="3561"/>
            <w:vAlign w:val="top"/>
          </w:tcPr>
          <w:p>
            <w:pPr>
              <w:spacing w:after="0"/>
            </w:pPr>
            <w:r>
              <w:rPr>
                <w:rFonts w:ascii="Times New Roman" w:hAnsi="Times New Roman"/>
                <w:sz w:val="14"/>
              </w:rPr>
              <w:t>Lev. 26:4–5</w:t>
            </w:r>
          </w:p>
        </w:tc>
        <w:tc>
          <w:tcPr>
            <w:tcW w:type="dxa" w:w="3561"/>
            <w:vAlign w:val="top"/>
          </w:tcPr>
          <w:p>
            <w:pPr>
              <w:spacing w:after="0"/>
            </w:pPr>
            <w:r>
              <w:rPr>
                <w:rFonts w:ascii="Times New Roman" w:hAnsi="Times New Roman"/>
                <w:sz w:val="14"/>
              </w:rPr>
              <w:t>rain and harvest</w:t>
            </w:r>
          </w:p>
        </w:tc>
        <w:tc>
          <w:tcPr>
            <w:tcW w:type="dxa" w:w="3561"/>
            <w:vAlign w:val="top"/>
          </w:tcPr>
          <w:p>
            <w:pPr>
              <w:spacing w:after="0"/>
            </w:pPr>
            <w:r>
              <w:rPr>
                <w:rFonts w:ascii="Times New Roman" w:hAnsi="Times New Roman"/>
                <w:sz w:val="14"/>
              </w:rPr>
              <w:t>National land-covenant blessing, not individual prosperity formula.</w:t>
            </w:r>
          </w:p>
        </w:tc>
      </w:tr>
      <w:tr>
        <w:tc>
          <w:tcPr>
            <w:tcW w:type="dxa" w:w="3561"/>
            <w:vAlign w:val="top"/>
          </w:tcPr>
          <w:p>
            <w:pPr>
              <w:spacing w:after="0"/>
            </w:pPr>
            <w:r>
              <w:rPr>
                <w:rFonts w:ascii="Times New Roman" w:hAnsi="Times New Roman"/>
                <w:sz w:val="14"/>
              </w:rPr>
              <w:t>Lev. 26:6</w:t>
            </w:r>
          </w:p>
        </w:tc>
        <w:tc>
          <w:tcPr>
            <w:tcW w:type="dxa" w:w="3561"/>
            <w:vAlign w:val="top"/>
          </w:tcPr>
          <w:p>
            <w:pPr>
              <w:spacing w:after="0"/>
            </w:pPr>
            <w:r>
              <w:rPr>
                <w:rFonts w:ascii="Times New Roman" w:hAnsi="Times New Roman"/>
                <w:sz w:val="14"/>
              </w:rPr>
              <w:t>shalom</w:t>
            </w:r>
          </w:p>
        </w:tc>
        <w:tc>
          <w:tcPr>
            <w:tcW w:type="dxa" w:w="3561"/>
            <w:vAlign w:val="top"/>
          </w:tcPr>
          <w:p>
            <w:pPr>
              <w:spacing w:after="0"/>
            </w:pPr>
            <w:r>
              <w:rPr>
                <w:rFonts w:ascii="Times New Roman" w:hAnsi="Times New Roman"/>
                <w:sz w:val="14"/>
              </w:rPr>
              <w:t>Peace/safety in the land.</w:t>
            </w:r>
          </w:p>
        </w:tc>
      </w:tr>
      <w:tr>
        <w:tc>
          <w:tcPr>
            <w:tcW w:type="dxa" w:w="3561"/>
            <w:vAlign w:val="top"/>
          </w:tcPr>
          <w:p>
            <w:pPr>
              <w:spacing w:after="0"/>
            </w:pPr>
            <w:r>
              <w:rPr>
                <w:rFonts w:ascii="Times New Roman" w:hAnsi="Times New Roman"/>
                <w:sz w:val="14"/>
              </w:rPr>
              <w:t>Lev. 26:8</w:t>
            </w:r>
          </w:p>
        </w:tc>
        <w:tc>
          <w:tcPr>
            <w:tcW w:type="dxa" w:w="3561"/>
            <w:vAlign w:val="top"/>
          </w:tcPr>
          <w:p>
            <w:pPr>
              <w:spacing w:after="0"/>
            </w:pPr>
            <w:r>
              <w:rPr>
                <w:rFonts w:ascii="Times New Roman" w:hAnsi="Times New Roman"/>
                <w:sz w:val="14"/>
              </w:rPr>
              <w:t>5 → 100; 100 → 10,000</w:t>
            </w:r>
          </w:p>
        </w:tc>
        <w:tc>
          <w:tcPr>
            <w:tcW w:type="dxa" w:w="3561"/>
            <w:vAlign w:val="top"/>
          </w:tcPr>
          <w:p>
            <w:pPr>
              <w:spacing w:after="0"/>
            </w:pPr>
            <w:r>
              <w:rPr>
                <w:rFonts w:ascii="Times New Roman" w:hAnsi="Times New Roman"/>
                <w:sz w:val="14"/>
              </w:rPr>
              <w:t>Proverbial/disproportionate victory language.</w:t>
            </w:r>
          </w:p>
        </w:tc>
      </w:tr>
      <w:tr>
        <w:tc>
          <w:tcPr>
            <w:tcW w:type="dxa" w:w="3561"/>
            <w:vAlign w:val="top"/>
          </w:tcPr>
          <w:p>
            <w:pPr>
              <w:spacing w:after="0"/>
            </w:pPr>
            <w:r>
              <w:rPr>
                <w:rFonts w:ascii="Times New Roman" w:hAnsi="Times New Roman"/>
                <w:sz w:val="14"/>
              </w:rPr>
              <w:t>Lev. 26:11</w:t>
            </w:r>
          </w:p>
        </w:tc>
        <w:tc>
          <w:tcPr>
            <w:tcW w:type="dxa" w:w="3561"/>
            <w:vAlign w:val="top"/>
          </w:tcPr>
          <w:p>
            <w:pPr>
              <w:spacing w:after="0"/>
            </w:pPr>
            <w:r>
              <w:rPr>
                <w:rFonts w:ascii="Times New Roman" w:hAnsi="Times New Roman"/>
                <w:sz w:val="14"/>
              </w:rPr>
              <w:t>nephesh</w:t>
            </w:r>
          </w:p>
        </w:tc>
        <w:tc>
          <w:tcPr>
            <w:tcW w:type="dxa" w:w="3561"/>
            <w:vAlign w:val="top"/>
          </w:tcPr>
          <w:p>
            <w:pPr>
              <w:spacing w:after="0"/>
            </w:pPr>
            <w:r>
              <w:rPr>
                <w:rFonts w:ascii="Times New Roman" w:hAnsi="Times New Roman"/>
                <w:sz w:val="14"/>
              </w:rPr>
              <w:t>Yahweh’s self/person in idiom; not anthropological soul doctrine.</w:t>
            </w:r>
          </w:p>
        </w:tc>
      </w:tr>
      <w:tr>
        <w:tc>
          <w:tcPr>
            <w:tcW w:type="dxa" w:w="3561"/>
            <w:vAlign w:val="top"/>
          </w:tcPr>
          <w:p>
            <w:pPr>
              <w:spacing w:after="0"/>
            </w:pPr>
            <w:r>
              <w:rPr>
                <w:rFonts w:ascii="Times New Roman" w:hAnsi="Times New Roman"/>
                <w:sz w:val="14"/>
              </w:rPr>
              <w:t>Lev. 26:11–12</w:t>
            </w:r>
          </w:p>
        </w:tc>
        <w:tc>
          <w:tcPr>
            <w:tcW w:type="dxa" w:w="3561"/>
            <w:vAlign w:val="top"/>
          </w:tcPr>
          <w:p>
            <w:pPr>
              <w:spacing w:after="0"/>
            </w:pPr>
            <w:r>
              <w:rPr>
                <w:rFonts w:ascii="Times New Roman" w:hAnsi="Times New Roman"/>
                <w:sz w:val="14"/>
              </w:rPr>
              <w:t>dwelling and walking</w:t>
            </w:r>
          </w:p>
        </w:tc>
        <w:tc>
          <w:tcPr>
            <w:tcW w:type="dxa" w:w="3561"/>
            <w:vAlign w:val="top"/>
          </w:tcPr>
          <w:p>
            <w:pPr>
              <w:spacing w:after="0"/>
            </w:pPr>
            <w:r>
              <w:rPr>
                <w:rFonts w:ascii="Times New Roman" w:hAnsi="Times New Roman"/>
                <w:sz w:val="14"/>
              </w:rPr>
              <w:t>Quoted in 2 Cor. 6:16.</w:t>
            </w:r>
          </w:p>
        </w:tc>
      </w:tr>
      <w:tr>
        <w:tc>
          <w:tcPr>
            <w:tcW w:type="dxa" w:w="3561"/>
            <w:vAlign w:val="top"/>
          </w:tcPr>
          <w:p>
            <w:pPr>
              <w:spacing w:after="0"/>
            </w:pPr>
            <w:r>
              <w:rPr>
                <w:rFonts w:ascii="Times New Roman" w:hAnsi="Times New Roman"/>
                <w:sz w:val="14"/>
              </w:rPr>
              <w:t>Lev. 26:13</w:t>
            </w:r>
          </w:p>
        </w:tc>
        <w:tc>
          <w:tcPr>
            <w:tcW w:type="dxa" w:w="3561"/>
            <w:vAlign w:val="top"/>
          </w:tcPr>
          <w:p>
            <w:pPr>
              <w:spacing w:after="0"/>
            </w:pPr>
            <w:r>
              <w:rPr>
                <w:rFonts w:ascii="Times New Roman" w:hAnsi="Times New Roman"/>
                <w:sz w:val="14"/>
              </w:rPr>
              <w:t>qomemiyut</w:t>
            </w:r>
          </w:p>
        </w:tc>
        <w:tc>
          <w:tcPr>
            <w:tcW w:type="dxa" w:w="3561"/>
            <w:vAlign w:val="top"/>
          </w:tcPr>
          <w:p>
            <w:pPr>
              <w:spacing w:after="0"/>
            </w:pPr>
            <w:r>
              <w:rPr>
                <w:rFonts w:ascii="Times New Roman" w:hAnsi="Times New Roman"/>
                <w:sz w:val="14"/>
              </w:rPr>
              <w:t>Upright/erect after yoke broken.</w:t>
            </w:r>
          </w:p>
        </w:tc>
      </w:tr>
      <w:tr>
        <w:tc>
          <w:tcPr>
            <w:tcW w:type="dxa" w:w="3561"/>
            <w:vAlign w:val="top"/>
          </w:tcPr>
          <w:p>
            <w:pPr>
              <w:spacing w:after="0"/>
            </w:pPr>
            <w:r>
              <w:rPr>
                <w:rFonts w:ascii="Times New Roman" w:hAnsi="Times New Roman"/>
                <w:sz w:val="14"/>
              </w:rPr>
              <w:t>Lev. 26:18 etc.</w:t>
            </w:r>
          </w:p>
        </w:tc>
        <w:tc>
          <w:tcPr>
            <w:tcW w:type="dxa" w:w="3561"/>
            <w:vAlign w:val="top"/>
          </w:tcPr>
          <w:p>
            <w:pPr>
              <w:spacing w:after="0"/>
            </w:pPr>
            <w:r>
              <w:rPr>
                <w:rFonts w:ascii="Times New Roman" w:hAnsi="Times New Roman"/>
                <w:sz w:val="14"/>
              </w:rPr>
              <w:t>seven times</w:t>
            </w:r>
          </w:p>
        </w:tc>
        <w:tc>
          <w:tcPr>
            <w:tcW w:type="dxa" w:w="3561"/>
            <w:vAlign w:val="top"/>
          </w:tcPr>
          <w:p>
            <w:pPr>
              <w:spacing w:after="0"/>
            </w:pPr>
            <w:r>
              <w:rPr>
                <w:rFonts w:ascii="Times New Roman" w:hAnsi="Times New Roman"/>
                <w:sz w:val="14"/>
              </w:rPr>
              <w:t>Sevenfold/intensified discipline; not necessarily seven rigid chronological stages.</w:t>
            </w:r>
          </w:p>
        </w:tc>
      </w:tr>
      <w:tr>
        <w:tc>
          <w:tcPr>
            <w:tcW w:type="dxa" w:w="3561"/>
            <w:vAlign w:val="top"/>
          </w:tcPr>
          <w:p>
            <w:pPr>
              <w:spacing w:after="0"/>
            </w:pPr>
            <w:r>
              <w:rPr>
                <w:rFonts w:ascii="Times New Roman" w:hAnsi="Times New Roman"/>
                <w:sz w:val="14"/>
              </w:rPr>
              <w:t>Lev. 26:21</w:t>
            </w:r>
          </w:p>
        </w:tc>
        <w:tc>
          <w:tcPr>
            <w:tcW w:type="dxa" w:w="3561"/>
            <w:vAlign w:val="top"/>
          </w:tcPr>
          <w:p>
            <w:pPr>
              <w:spacing w:after="0"/>
            </w:pPr>
            <w:r>
              <w:rPr>
                <w:rFonts w:ascii="Times New Roman" w:hAnsi="Times New Roman"/>
                <w:sz w:val="14"/>
              </w:rPr>
              <w:t>qeri</w:t>
            </w:r>
          </w:p>
        </w:tc>
        <w:tc>
          <w:tcPr>
            <w:tcW w:type="dxa" w:w="3561"/>
            <w:vAlign w:val="top"/>
          </w:tcPr>
          <w:p>
            <w:pPr>
              <w:spacing w:after="0"/>
            </w:pPr>
            <w:r>
              <w:rPr>
                <w:rFonts w:ascii="Times New Roman" w:hAnsi="Times New Roman"/>
                <w:sz w:val="14"/>
              </w:rPr>
              <w:t>Contrary/hostile/oppositional walking; exact nuance debated.</w:t>
            </w:r>
          </w:p>
        </w:tc>
      </w:tr>
      <w:tr>
        <w:tc>
          <w:tcPr>
            <w:tcW w:type="dxa" w:w="3561"/>
            <w:vAlign w:val="top"/>
          </w:tcPr>
          <w:p>
            <w:pPr>
              <w:spacing w:after="0"/>
            </w:pPr>
            <w:r>
              <w:rPr>
                <w:rFonts w:ascii="Times New Roman" w:hAnsi="Times New Roman"/>
                <w:sz w:val="14"/>
              </w:rPr>
              <w:t>Lev. 26:25</w:t>
            </w:r>
          </w:p>
        </w:tc>
        <w:tc>
          <w:tcPr>
            <w:tcW w:type="dxa" w:w="3561"/>
            <w:vAlign w:val="top"/>
          </w:tcPr>
          <w:p>
            <w:pPr>
              <w:spacing w:after="0"/>
            </w:pPr>
            <w:r>
              <w:rPr>
                <w:rFonts w:ascii="Times New Roman" w:hAnsi="Times New Roman"/>
                <w:sz w:val="14"/>
              </w:rPr>
              <w:t>covenant vengeance</w:t>
            </w:r>
          </w:p>
        </w:tc>
        <w:tc>
          <w:tcPr>
            <w:tcW w:type="dxa" w:w="3561"/>
            <w:vAlign w:val="top"/>
          </w:tcPr>
          <w:p>
            <w:pPr>
              <w:spacing w:after="0"/>
            </w:pPr>
            <w:r>
              <w:rPr>
                <w:rFonts w:ascii="Times New Roman" w:hAnsi="Times New Roman"/>
                <w:sz w:val="14"/>
              </w:rPr>
              <w:t>Judicial execution of covenant curse, not modern personal quarrel.</w:t>
            </w:r>
          </w:p>
        </w:tc>
      </w:tr>
      <w:tr>
        <w:tc>
          <w:tcPr>
            <w:tcW w:type="dxa" w:w="3561"/>
            <w:vAlign w:val="top"/>
          </w:tcPr>
          <w:p>
            <w:pPr>
              <w:spacing w:after="0"/>
            </w:pPr>
            <w:r>
              <w:rPr>
                <w:rFonts w:ascii="Times New Roman" w:hAnsi="Times New Roman"/>
                <w:sz w:val="14"/>
              </w:rPr>
              <w:t>Lev. 26:29</w:t>
            </w:r>
          </w:p>
        </w:tc>
        <w:tc>
          <w:tcPr>
            <w:tcW w:type="dxa" w:w="3561"/>
            <w:vAlign w:val="top"/>
          </w:tcPr>
          <w:p>
            <w:pPr>
              <w:spacing w:after="0"/>
            </w:pPr>
            <w:r>
              <w:rPr>
                <w:rFonts w:ascii="Times New Roman" w:hAnsi="Times New Roman"/>
                <w:sz w:val="14"/>
              </w:rPr>
              <w:t>eat sons/daughters</w:t>
            </w:r>
          </w:p>
        </w:tc>
        <w:tc>
          <w:tcPr>
            <w:tcW w:type="dxa" w:w="3561"/>
            <w:vAlign w:val="top"/>
          </w:tcPr>
          <w:p>
            <w:pPr>
              <w:spacing w:after="0"/>
            </w:pPr>
            <w:r>
              <w:rPr>
                <w:rFonts w:ascii="Times New Roman" w:hAnsi="Times New Roman"/>
                <w:sz w:val="14"/>
              </w:rPr>
              <w:t>Extreme siege curse warning, not command.</w:t>
            </w:r>
          </w:p>
        </w:tc>
      </w:tr>
      <w:tr>
        <w:tc>
          <w:tcPr>
            <w:tcW w:type="dxa" w:w="3561"/>
            <w:vAlign w:val="top"/>
          </w:tcPr>
          <w:p>
            <w:pPr>
              <w:spacing w:after="0"/>
            </w:pPr>
            <w:r>
              <w:rPr>
                <w:rFonts w:ascii="Times New Roman" w:hAnsi="Times New Roman"/>
                <w:sz w:val="14"/>
              </w:rPr>
              <w:t>Lev. 26:34–35</w:t>
            </w:r>
          </w:p>
        </w:tc>
        <w:tc>
          <w:tcPr>
            <w:tcW w:type="dxa" w:w="3561"/>
            <w:vAlign w:val="top"/>
          </w:tcPr>
          <w:p>
            <w:pPr>
              <w:spacing w:after="0"/>
            </w:pPr>
            <w:r>
              <w:rPr>
                <w:rFonts w:ascii="Times New Roman" w:hAnsi="Times New Roman"/>
                <w:sz w:val="14"/>
              </w:rPr>
              <w:t>land enjoys Sabbaths</w:t>
            </w:r>
          </w:p>
        </w:tc>
        <w:tc>
          <w:tcPr>
            <w:tcW w:type="dxa" w:w="3561"/>
            <w:vAlign w:val="top"/>
          </w:tcPr>
          <w:p>
            <w:pPr>
              <w:spacing w:after="0"/>
            </w:pPr>
            <w:r>
              <w:rPr>
                <w:rFonts w:ascii="Times New Roman" w:hAnsi="Times New Roman"/>
                <w:sz w:val="14"/>
              </w:rPr>
              <w:t>2 Chr. 36:20–21 gives explicit historical application to exile.</w:t>
            </w:r>
          </w:p>
        </w:tc>
      </w:tr>
      <w:tr>
        <w:tc>
          <w:tcPr>
            <w:tcW w:type="dxa" w:w="3561"/>
            <w:vAlign w:val="top"/>
          </w:tcPr>
          <w:p>
            <w:pPr>
              <w:spacing w:after="0"/>
            </w:pPr>
            <w:r>
              <w:rPr>
                <w:rFonts w:ascii="Times New Roman" w:hAnsi="Times New Roman"/>
                <w:sz w:val="14"/>
              </w:rPr>
              <w:t>Lev. 26:40</w:t>
            </w:r>
          </w:p>
        </w:tc>
        <w:tc>
          <w:tcPr>
            <w:tcW w:type="dxa" w:w="3561"/>
            <w:vAlign w:val="top"/>
          </w:tcPr>
          <w:p>
            <w:pPr>
              <w:spacing w:after="0"/>
            </w:pPr>
            <w:r>
              <w:rPr>
                <w:rFonts w:ascii="Times New Roman" w:hAnsi="Times New Roman"/>
                <w:sz w:val="14"/>
              </w:rPr>
              <w:t>hitvaddah</w:t>
            </w:r>
          </w:p>
        </w:tc>
        <w:tc>
          <w:tcPr>
            <w:tcW w:type="dxa" w:w="3561"/>
            <w:vAlign w:val="top"/>
          </w:tcPr>
          <w:p>
            <w:pPr>
              <w:spacing w:after="0"/>
            </w:pPr>
            <w:r>
              <w:rPr>
                <w:rFonts w:ascii="Times New Roman" w:hAnsi="Times New Roman"/>
                <w:sz w:val="14"/>
              </w:rPr>
              <w:t>Confess/acknowledge iniquity.</w:t>
            </w:r>
          </w:p>
        </w:tc>
      </w:tr>
      <w:tr>
        <w:tc>
          <w:tcPr>
            <w:tcW w:type="dxa" w:w="3561"/>
            <w:vAlign w:val="top"/>
          </w:tcPr>
          <w:p>
            <w:pPr>
              <w:spacing w:after="0"/>
            </w:pPr>
            <w:r>
              <w:rPr>
                <w:rFonts w:ascii="Times New Roman" w:hAnsi="Times New Roman"/>
                <w:sz w:val="14"/>
              </w:rPr>
              <w:t>Lev. 26:41</w:t>
            </w:r>
          </w:p>
        </w:tc>
        <w:tc>
          <w:tcPr>
            <w:tcW w:type="dxa" w:w="3561"/>
            <w:vAlign w:val="top"/>
          </w:tcPr>
          <w:p>
            <w:pPr>
              <w:spacing w:after="0"/>
            </w:pPr>
            <w:r>
              <w:rPr>
                <w:rFonts w:ascii="Times New Roman" w:hAnsi="Times New Roman"/>
                <w:sz w:val="14"/>
              </w:rPr>
              <w:t>uncircumcised heart humbled</w:t>
            </w:r>
          </w:p>
        </w:tc>
        <w:tc>
          <w:tcPr>
            <w:tcW w:type="dxa" w:w="3561"/>
            <w:vAlign w:val="top"/>
          </w:tcPr>
          <w:p>
            <w:pPr>
              <w:spacing w:after="0"/>
            </w:pPr>
            <w:r>
              <w:rPr>
                <w:rFonts w:ascii="Times New Roman" w:hAnsi="Times New Roman"/>
                <w:sz w:val="14"/>
              </w:rPr>
              <w:t>Repentant recognition precedes covenant remembrance.</w:t>
            </w:r>
          </w:p>
        </w:tc>
      </w:tr>
      <w:tr>
        <w:tc>
          <w:tcPr>
            <w:tcW w:type="dxa" w:w="3561"/>
            <w:vAlign w:val="top"/>
          </w:tcPr>
          <w:p>
            <w:pPr>
              <w:spacing w:after="0"/>
            </w:pPr>
            <w:r>
              <w:rPr>
                <w:rFonts w:ascii="Times New Roman" w:hAnsi="Times New Roman"/>
                <w:sz w:val="14"/>
              </w:rPr>
              <w:t>Lev. 26:41</w:t>
            </w:r>
          </w:p>
        </w:tc>
        <w:tc>
          <w:tcPr>
            <w:tcW w:type="dxa" w:w="3561"/>
            <w:vAlign w:val="top"/>
          </w:tcPr>
          <w:p>
            <w:pPr>
              <w:spacing w:after="0"/>
            </w:pPr>
            <w:r>
              <w:rPr>
                <w:rFonts w:ascii="Times New Roman" w:hAnsi="Times New Roman"/>
                <w:sz w:val="14"/>
              </w:rPr>
              <w:t>yirtzu et-avonam</w:t>
            </w:r>
          </w:p>
        </w:tc>
        <w:tc>
          <w:tcPr>
            <w:tcW w:type="dxa" w:w="3561"/>
            <w:vAlign w:val="top"/>
          </w:tcPr>
          <w:p>
            <w:pPr>
              <w:spacing w:after="0"/>
            </w:pPr>
            <w:r>
              <w:rPr>
                <w:rFonts w:ascii="Times New Roman" w:hAnsi="Times New Roman"/>
                <w:sz w:val="14"/>
              </w:rPr>
              <w:t>Accept/bear consequence or satisfaction for iniquity; nuance difficult.</w:t>
            </w:r>
          </w:p>
        </w:tc>
      </w:tr>
      <w:tr>
        <w:tc>
          <w:tcPr>
            <w:tcW w:type="dxa" w:w="3561"/>
            <w:vAlign w:val="top"/>
          </w:tcPr>
          <w:p>
            <w:pPr>
              <w:spacing w:after="0"/>
            </w:pPr>
            <w:r>
              <w:rPr>
                <w:rFonts w:ascii="Times New Roman" w:hAnsi="Times New Roman"/>
                <w:sz w:val="14"/>
              </w:rPr>
              <w:t>Lev. 26:42</w:t>
            </w:r>
          </w:p>
        </w:tc>
        <w:tc>
          <w:tcPr>
            <w:tcW w:type="dxa" w:w="3561"/>
            <w:vAlign w:val="top"/>
          </w:tcPr>
          <w:p>
            <w:pPr>
              <w:spacing w:after="0"/>
            </w:pPr>
            <w:r>
              <w:rPr>
                <w:rFonts w:ascii="Times New Roman" w:hAnsi="Times New Roman"/>
                <w:sz w:val="14"/>
              </w:rPr>
              <w:t>Jacob-Isaac-Abraham</w:t>
            </w:r>
          </w:p>
        </w:tc>
        <w:tc>
          <w:tcPr>
            <w:tcW w:type="dxa" w:w="3561"/>
            <w:vAlign w:val="top"/>
          </w:tcPr>
          <w:p>
            <w:pPr>
              <w:spacing w:after="0"/>
            </w:pPr>
            <w:r>
              <w:rPr>
                <w:rFonts w:ascii="Times New Roman" w:hAnsi="Times New Roman"/>
                <w:sz w:val="14"/>
              </w:rPr>
              <w:t>Reverse ancestral order, unexplained by text.</w:t>
            </w:r>
          </w:p>
        </w:tc>
      </w:tr>
      <w:tr>
        <w:tc>
          <w:tcPr>
            <w:tcW w:type="dxa" w:w="3561"/>
            <w:vAlign w:val="top"/>
          </w:tcPr>
          <w:p>
            <w:pPr>
              <w:spacing w:after="0"/>
            </w:pPr>
            <w:r>
              <w:rPr>
                <w:rFonts w:ascii="Times New Roman" w:hAnsi="Times New Roman"/>
                <w:sz w:val="14"/>
              </w:rPr>
              <w:t>Lev. 26:44</w:t>
            </w:r>
          </w:p>
        </w:tc>
        <w:tc>
          <w:tcPr>
            <w:tcW w:type="dxa" w:w="3561"/>
            <w:vAlign w:val="top"/>
          </w:tcPr>
          <w:p>
            <w:pPr>
              <w:spacing w:after="0"/>
            </w:pPr>
            <w:r>
              <w:rPr>
                <w:rFonts w:ascii="Times New Roman" w:hAnsi="Times New Roman"/>
                <w:sz w:val="14"/>
              </w:rPr>
              <w:t>not utterly destroy / break covenant</w:t>
            </w:r>
          </w:p>
        </w:tc>
        <w:tc>
          <w:tcPr>
            <w:tcW w:type="dxa" w:w="3561"/>
            <w:vAlign w:val="top"/>
          </w:tcPr>
          <w:p>
            <w:pPr>
              <w:spacing w:after="0"/>
            </w:pPr>
            <w:r>
              <w:rPr>
                <w:rFonts w:ascii="Times New Roman" w:hAnsi="Times New Roman"/>
                <w:sz w:val="14"/>
              </w:rPr>
              <w:t>Explicit assurance of national covenant preservation.</w:t>
            </w:r>
          </w:p>
        </w:tc>
      </w:tr>
      <w:tr>
        <w:tc>
          <w:tcPr>
            <w:tcW w:type="dxa" w:w="3561"/>
            <w:vAlign w:val="top"/>
          </w:tcPr>
          <w:p>
            <w:pPr>
              <w:spacing w:after="0"/>
            </w:pPr>
            <w:r>
              <w:rPr>
                <w:rFonts w:ascii="Times New Roman" w:hAnsi="Times New Roman"/>
                <w:sz w:val="14"/>
              </w:rPr>
              <w:t>Lev. 26:46</w:t>
            </w:r>
          </w:p>
        </w:tc>
        <w:tc>
          <w:tcPr>
            <w:tcW w:type="dxa" w:w="3561"/>
            <w:vAlign w:val="top"/>
          </w:tcPr>
          <w:p>
            <w:pPr>
              <w:spacing w:after="0"/>
            </w:pPr>
            <w:r>
              <w:rPr>
                <w:rFonts w:ascii="Times New Roman" w:hAnsi="Times New Roman"/>
                <w:sz w:val="14"/>
              </w:rPr>
              <w:t>Sinai conclusion</w:t>
            </w:r>
          </w:p>
        </w:tc>
        <w:tc>
          <w:tcPr>
            <w:tcW w:type="dxa" w:w="3561"/>
            <w:vAlign w:val="top"/>
          </w:tcPr>
          <w:p>
            <w:pPr>
              <w:spacing w:after="0"/>
            </w:pPr>
            <w:r>
              <w:rPr>
                <w:rFonts w:ascii="Times New Roman" w:hAnsi="Times New Roman"/>
                <w:sz w:val="14"/>
              </w:rPr>
              <w:t>“Levitical Covenant” is editorial heading, not inspired formal title.</w:t>
            </w:r>
          </w:p>
        </w:tc>
      </w:tr>
    </w:tbl>
    <w:p>
      <w:pPr>
        <w:pStyle w:val="Heading1"/>
      </w:pPr>
      <w:r>
        <w:t>RESIDUAL UNCERTAINTIES</w:t>
      </w:r>
    </w:p>
    <w:p>
      <w:pPr/>
      <w:r>
        <w:rPr>
          <w:i w:val="0"/>
        </w:rPr>
        <w:t>The semantic range of qeri and yirtzu et-avonam remains debated. Historical fulfilment can be seen broadly in Assyrian/Babylonian/Roman disasters and dispersion, but not every clause should be mechanically assigned to one event without explicit scriptural linkage. Mansfield’s staged and millennial schemes remain exposition rather than inspired chronology.</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