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w:t>
      </w:r>
    </w:p>
    <w:p>
      <w:pPr>
        <w:pStyle w:val="Subtitle"/>
      </w:pPr>
      <w:r>
        <w:t>INTRODUCTION — VICTORY THROUGH PROBATION • THE ECCLESIA IN THE WILDERNESS • THE GOODNESS AND SEVERITY OF GOD</w:t>
      </w:r>
    </w:p>
    <w:p>
      <w:pPr/>
      <w:r>
        <w:rPr>
          <w:i/>
        </w:rPr>
        <w:t>H. P. Mansfield Bible notes — checked and arranged in Expositor style</w:t>
      </w:r>
    </w:p>
    <w:p>
      <w:pPr/>
      <w:r>
        <w:rPr>
          <w:i w:val="0"/>
        </w:rPr>
        <w:t>Source: HP Mansfield Bible scan HPB 03-Lev12-Num36.PDF, especially pp. 30–31; cross-checked with Mansfield’s published Numbers Expositor.</w:t>
      </w:r>
    </w:p>
    <w:p>
      <w:pPr>
        <w:pStyle w:val="Heading1"/>
      </w:pPr>
      <w:r>
        <w:t>BOOK OVERVIEW</w:t>
      </w:r>
    </w:p>
    <w:p>
      <w:pPr/>
      <w:r>
        <w:rPr>
          <w:i w:val="0"/>
        </w:rPr>
        <w:t>Numbers follows redemption and sanctuary fellowship with testing. Israel is a redeemed covenant people, but the wilderness reveals whether faith, discipline and dependence upon Yahweh will govern the journey to the inheritance.</w:t>
      </w:r>
    </w:p>
    <w:p>
      <w:pPr/>
      <w:r>
        <w:rPr>
          <w:i w:val="0"/>
        </w:rPr>
        <w:t>The HP Bible’s major heading is VICTORY THROUGH PROBATION. Mansfield’s published Expositor gives the closely related themes BEHOLD THE GOODNESS AND SEVERITY OF GOD and VICTORY THROUGH TRIAL. All express the same central contrast: Yahweh faithfully provides and guides, while unbelief brings judgment.</w:t>
      </w:r>
    </w:p>
    <w:p>
      <w:pPr>
        <w:pStyle w:val="Heading1"/>
      </w:pPr>
      <w:r>
        <w:t>TITLE AND SETTING</w:t>
      </w:r>
    </w:p>
    <w:p>
      <w:pPr>
        <w:pStyle w:val="Heading2"/>
      </w:pPr>
      <w:r>
        <w:t>Hebrew and English titles</w:t>
      </w:r>
    </w:p>
    <w:p>
      <w:pPr/>
      <w:r>
        <w:rPr>
          <w:i w:val="0"/>
        </w:rPr>
        <w:t>The English title Numbers comes through Greek Arithmoi and Latin Numeri and reflects the two major censuses. The Hebrew title is bemidbar, “in the wilderness,” from the opening setting of Numbers 1:1.</w:t>
      </w:r>
    </w:p>
    <w:p>
      <w:pPr/>
      <w:r>
        <w:rPr>
          <w:i w:val="0"/>
        </w:rPr>
        <w:t>The Hebrew title better exposes the book’s spiritual setting: Israel is the “ecclesia in the wilderness” of Acts 7:38, called out from Egypt and moving toward promised inheritance.</w:t>
      </w:r>
    </w:p>
    <w:p>
      <w:pPr>
        <w:pStyle w:val="Heading2"/>
      </w:pPr>
      <w:r>
        <w:t>Chronology and non-sequential arrangement</w:t>
      </w:r>
    </w:p>
    <w:p>
      <w:pPr/>
      <w:r>
        <w:rPr>
          <w:i w:val="0"/>
        </w:rPr>
        <w:t>Numbers 1:1 opens on the first day of the second month of the second year after the Exodus; Numbers 10:11 begins the march from Sinai on the twentieth day of that month. The later narrative reaches the fortieth year and the plains of Moab.</w:t>
      </w:r>
    </w:p>
    <w:p>
      <w:pPr/>
      <w:r>
        <w:rPr>
          <w:i w:val="0"/>
        </w:rPr>
        <w:t>The book is not arranged in strict chronological sequence. Numbers 9:1 places Passover instructions in the first month of the second year, before the census date of Numbers 1:1. The literary order therefore serves thematic instruction as well as chronology.</w:t>
      </w:r>
    </w:p>
    <w:p>
      <w:pPr>
        <w:pStyle w:val="Heading1"/>
      </w:pPr>
      <w:r>
        <w:t>THE TWO CENSUSES</w:t>
      </w:r>
    </w:p>
    <w:p>
      <w:pPr>
        <w:pStyle w:val="Heading2"/>
      </w:pPr>
      <w:r>
        <w:t>The first generation — Numbers 1</w:t>
      </w:r>
    </w:p>
    <w:p>
      <w:pPr/>
      <w:r>
        <w:rPr>
          <w:i w:val="0"/>
        </w:rPr>
        <w:t>The first census numbers the responsible military congregation twenty years old and upward, preparing the generation redeemed from Egypt for movement and conflict.</w:t>
      </w:r>
    </w:p>
    <w:p>
      <w:pPr>
        <w:pStyle w:val="Heading2"/>
      </w:pPr>
      <w:r>
        <w:t>The second generation — Numbers 26</w:t>
      </w:r>
    </w:p>
    <w:p>
      <w:pPr/>
      <w:r>
        <w:rPr>
          <w:i w:val="0"/>
        </w:rPr>
        <w:t>After the unbelieving generation has died in the wilderness, a second census identifies the generation standing near the inheritance. The two numberings therefore frame the book’s probationary lesson.</w:t>
      </w:r>
    </w:p>
    <w:p>
      <w:pPr>
        <w:pStyle w:val="Heading1"/>
      </w:pPr>
      <w:r>
        <w:t>MANSFIELD’S STRUCTURAL OUTLINE</w:t>
      </w:r>
    </w:p>
    <w:p>
      <w:pPr>
        <w:pStyle w:val="Heading2"/>
      </w:pPr>
      <w:r>
        <w:t>Preparation in the wilderness — Numbers 1–10</w:t>
      </w:r>
    </w:p>
    <w:p>
      <w:pPr/>
      <w:r>
        <w:rPr>
          <w:i w:val="0"/>
        </w:rPr>
        <w:t>Israel is ordered around Yahweh’s dwelling: warriors numbered, tribal camps arranged, Levites assigned, defilement removed, Nazarite separation regulated, princes and Levites dedicated, Passover observed, and movement governed by cloud and silver trumpets.</w:t>
      </w:r>
    </w:p>
    <w:p>
      <w:pPr>
        <w:pStyle w:val="Heading2"/>
      </w:pPr>
      <w:r>
        <w:t>Provocation and frustration — Numbers 11–19</w:t>
      </w:r>
    </w:p>
    <w:p>
      <w:pPr/>
      <w:r>
        <w:rPr>
          <w:i w:val="0"/>
        </w:rPr>
        <w:t>Complaint, lust, opposition to Moses, the spies’ evil report, refusal of the land and Korah’s revolt expose unbelief. The condemned generation must remain in the wilderness while Yahweh maintains His purpose.</w:t>
      </w:r>
    </w:p>
    <w:p>
      <w:pPr>
        <w:pStyle w:val="Heading2"/>
      </w:pPr>
      <w:r>
        <w:t>Vindication and preparation for inheritance — Numbers 20–36</w:t>
      </w:r>
    </w:p>
    <w:p>
      <w:pPr/>
      <w:r>
        <w:rPr>
          <w:i w:val="0"/>
        </w:rPr>
        <w:t>The later movement brings the new generation forward. Edom and Canaanite opposition, the bronze serpent, victories east of Jordan, Balaam’s failed curse, the second census and final inheritance regulations show Yahweh’s purpose surviving human failure.</w:t>
      </w:r>
    </w:p>
    <w:p>
      <w:pPr>
        <w:pStyle w:val="Heading1"/>
      </w:pPr>
      <w:r>
        <w:t>THE ECCLESIA IN THE WILDERNESS</w:t>
      </w:r>
    </w:p>
    <w:p>
      <w:pPr>
        <w:pStyle w:val="Heading2"/>
      </w:pPr>
      <w:r>
        <w:t>Historical first, typical second</w:t>
      </w:r>
    </w:p>
    <w:p>
      <w:pPr/>
      <w:r>
        <w:rPr>
          <w:i w:val="0"/>
        </w:rPr>
        <w:t>First Corinthians 10:1–13 expressly uses Israel’s wilderness experiences as examples/types and warnings to believers. Hebrews 3–4 likewise builds its exhortation around the generation that failed to enter because of unbelief.</w:t>
      </w:r>
    </w:p>
    <w:p>
      <w:pPr/>
      <w:r>
        <w:rPr>
          <w:i w:val="0"/>
        </w:rPr>
        <w:t>The typology must never erase the history. Israel’s actual complaints, rebellions, judgments and preservations supply the inspired basis for later ecclesial exhortation.</w:t>
      </w:r>
    </w:p>
    <w:p>
      <w:pPr>
        <w:pStyle w:val="Heading2"/>
      </w:pPr>
      <w:r>
        <w:t>Goodness and severity</w:t>
      </w:r>
    </w:p>
    <w:p>
      <w:pPr/>
      <w:r>
        <w:rPr>
          <w:i w:val="0"/>
        </w:rPr>
        <w:t>Romans 11:22 provides Mansfield’s published thematic phrase: “the goodness and severity of God.” Numbers displays both—provision, guidance and covenant preservation alongside real judgment upon persistent unbelief.</w:t>
      </w:r>
    </w:p>
    <w:p>
      <w:pPr>
        <w:pStyle w:val="Heading1"/>
      </w:pPr>
      <w:r>
        <w:t>A BOOK OF DISCIPLINE AND FAITH</w:t>
      </w:r>
    </w:p>
    <w:p>
      <w:pPr>
        <w:pStyle w:val="Heading2"/>
      </w:pPr>
      <w:r>
        <w:t>Redemption is the beginning, not the end</w:t>
      </w:r>
    </w:p>
    <w:p>
      <w:pPr/>
      <w:r>
        <w:rPr>
          <w:i w:val="0"/>
        </w:rPr>
        <w:t>Egypt has been left behind, but inheritance is still ahead. The book teaches that a redeemed people must learn order, holiness, endurance, trust and obedient movement under Yahweh’s presence.</w:t>
      </w:r>
    </w:p>
    <w:p>
      <w:pPr/>
      <w:r>
        <w:rPr>
          <w:i w:val="0"/>
        </w:rPr>
        <w:t>Numbers 33:1 summarises the journey motif: Israel went forth from Egypt “with their armies under the hand of Moses and Aaron.” The journey is organised, supervised and accountable.</w:t>
      </w:r>
    </w:p>
    <w:p>
      <w:pPr>
        <w:pStyle w:val="Heading1"/>
      </w:pPr>
      <w:r>
        <w:t>PRINCIPAL THEMES</w:t>
      </w:r>
    </w:p>
    <w:p>
      <w:pPr>
        <w:ind w:left="259" w:hanging="202"/>
      </w:pPr>
      <w:r>
        <w:rPr>
          <w:b/>
        </w:rPr>
        <w:t xml:space="preserve">• </w:t>
      </w:r>
      <w:r>
        <w:t>Bemidbar, “in the wilderness,” is the book’s Hebrew title and interpretive setting.</w:t>
      </w:r>
    </w:p>
    <w:p>
      <w:pPr>
        <w:ind w:left="259" w:hanging="202"/>
      </w:pPr>
      <w:r>
        <w:rPr>
          <w:b/>
        </w:rPr>
        <w:t xml:space="preserve">• </w:t>
      </w:r>
      <w:r>
        <w:t>The English title reflects the two censuses, which mark the old and new generations.</w:t>
      </w:r>
    </w:p>
    <w:p>
      <w:pPr>
        <w:ind w:left="259" w:hanging="202"/>
      </w:pPr>
      <w:r>
        <w:rPr>
          <w:b/>
        </w:rPr>
        <w:t xml:space="preserve">• </w:t>
      </w:r>
      <w:r>
        <w:t>Numbers is not arranged in strict chronological order; Numbers 9 predates Numbers 1.</w:t>
      </w:r>
    </w:p>
    <w:p>
      <w:pPr>
        <w:ind w:left="259" w:hanging="202"/>
      </w:pPr>
      <w:r>
        <w:rPr>
          <w:b/>
        </w:rPr>
        <w:t xml:space="preserve">• </w:t>
      </w:r>
      <w:r>
        <w:t>The wilderness reveals character through testing rather than creating unbelief out of nothing.</w:t>
      </w:r>
    </w:p>
    <w:p>
      <w:pPr>
        <w:ind w:left="259" w:hanging="202"/>
      </w:pPr>
      <w:r>
        <w:rPr>
          <w:b/>
        </w:rPr>
        <w:t xml:space="preserve">• </w:t>
      </w:r>
      <w:r>
        <w:t>First Corinthians 10 and Hebrews 3–4 explicitly turn Israel’s experiences into warnings for believers.</w:t>
      </w:r>
    </w:p>
    <w:p>
      <w:pPr>
        <w:ind w:left="259" w:hanging="202"/>
      </w:pPr>
      <w:r>
        <w:rPr>
          <w:b/>
        </w:rPr>
        <w:t xml:space="preserve">• </w:t>
      </w:r>
      <w:r>
        <w:t>Yahweh’s goodness and severity operate together: He provides, guides, disciplines and judges.</w:t>
      </w:r>
    </w:p>
    <w:p>
      <w:pPr>
        <w:ind w:left="259" w:hanging="202"/>
      </w:pPr>
      <w:r>
        <w:rPr>
          <w:b/>
        </w:rPr>
        <w:t xml:space="preserve">• </w:t>
      </w:r>
      <w:r>
        <w:t>Redemption from Egypt must be followed by faithful endurance toward inheritance.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 / item</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8" w:lineRule="auto"/>
            </w:pPr>
            <w:r>
              <w:rPr>
                <w:rFonts w:ascii="Times New Roman" w:hAnsi="Times New Roman"/>
                <w:sz w:val="13"/>
              </w:rPr>
              <w:t>Title</w:t>
            </w:r>
          </w:p>
        </w:tc>
        <w:tc>
          <w:tcPr>
            <w:tcW w:type="dxa" w:w="3561"/>
            <w:vAlign w:val="top"/>
          </w:tcPr>
          <w:p>
            <w:pPr>
              <w:spacing w:after="0" w:line="228" w:lineRule="auto"/>
            </w:pPr>
            <w:r>
              <w:rPr>
                <w:rFonts w:ascii="Times New Roman" w:hAnsi="Times New Roman"/>
                <w:sz w:val="13"/>
              </w:rPr>
              <w:t>bemidbar = “in the wilderness”</w:t>
            </w:r>
          </w:p>
        </w:tc>
        <w:tc>
          <w:tcPr>
            <w:tcW w:type="dxa" w:w="3561"/>
            <w:vAlign w:val="top"/>
          </w:tcPr>
          <w:p>
            <w:pPr>
              <w:spacing w:after="0" w:line="228" w:lineRule="auto"/>
            </w:pPr>
            <w:r>
              <w:rPr>
                <w:rFonts w:ascii="Times New Roman" w:hAnsi="Times New Roman"/>
                <w:sz w:val="13"/>
              </w:rPr>
              <w:t>Hebrew opening phrase; English Numbers derives from Greek/Latin census title.</w:t>
            </w:r>
          </w:p>
        </w:tc>
      </w:tr>
      <w:tr>
        <w:tc>
          <w:tcPr>
            <w:tcW w:type="dxa" w:w="3561"/>
            <w:vAlign w:val="top"/>
          </w:tcPr>
          <w:p>
            <w:pPr>
              <w:spacing w:after="0" w:line="228" w:lineRule="auto"/>
            </w:pPr>
            <w:r>
              <w:rPr>
                <w:rFonts w:ascii="Times New Roman" w:hAnsi="Times New Roman"/>
                <w:sz w:val="13"/>
              </w:rPr>
              <w:t>Num. 1:1</w:t>
            </w:r>
          </w:p>
        </w:tc>
        <w:tc>
          <w:tcPr>
            <w:tcW w:type="dxa" w:w="3561"/>
            <w:vAlign w:val="top"/>
          </w:tcPr>
          <w:p>
            <w:pPr>
              <w:spacing w:after="0" w:line="228" w:lineRule="auto"/>
            </w:pPr>
            <w:r>
              <w:rPr>
                <w:rFonts w:ascii="Times New Roman" w:hAnsi="Times New Roman"/>
                <w:sz w:val="13"/>
              </w:rPr>
              <w:t>1st day, 2nd month, 2nd year</w:t>
            </w:r>
          </w:p>
        </w:tc>
        <w:tc>
          <w:tcPr>
            <w:tcW w:type="dxa" w:w="3561"/>
            <w:vAlign w:val="top"/>
          </w:tcPr>
          <w:p>
            <w:pPr>
              <w:spacing w:after="0" w:line="228" w:lineRule="auto"/>
            </w:pPr>
            <w:r>
              <w:rPr>
                <w:rFonts w:ascii="Times New Roman" w:hAnsi="Times New Roman"/>
                <w:sz w:val="13"/>
              </w:rPr>
              <w:t>Opening census date.</w:t>
            </w:r>
          </w:p>
        </w:tc>
      </w:tr>
      <w:tr>
        <w:tc>
          <w:tcPr>
            <w:tcW w:type="dxa" w:w="3561"/>
            <w:vAlign w:val="top"/>
          </w:tcPr>
          <w:p>
            <w:pPr>
              <w:spacing w:after="0" w:line="228" w:lineRule="auto"/>
            </w:pPr>
            <w:r>
              <w:rPr>
                <w:rFonts w:ascii="Times New Roman" w:hAnsi="Times New Roman"/>
                <w:sz w:val="13"/>
              </w:rPr>
              <w:t>Num. 9:1</w:t>
            </w:r>
          </w:p>
        </w:tc>
        <w:tc>
          <w:tcPr>
            <w:tcW w:type="dxa" w:w="3561"/>
            <w:vAlign w:val="top"/>
          </w:tcPr>
          <w:p>
            <w:pPr>
              <w:spacing w:after="0" w:line="228" w:lineRule="auto"/>
            </w:pPr>
            <w:r>
              <w:rPr>
                <w:rFonts w:ascii="Times New Roman" w:hAnsi="Times New Roman"/>
                <w:sz w:val="13"/>
              </w:rPr>
              <w:t>1st month, 2nd year</w:t>
            </w:r>
          </w:p>
        </w:tc>
        <w:tc>
          <w:tcPr>
            <w:tcW w:type="dxa" w:w="3561"/>
            <w:vAlign w:val="top"/>
          </w:tcPr>
          <w:p>
            <w:pPr>
              <w:spacing w:after="0" w:line="228" w:lineRule="auto"/>
            </w:pPr>
            <w:r>
              <w:rPr>
                <w:rFonts w:ascii="Times New Roman" w:hAnsi="Times New Roman"/>
                <w:sz w:val="13"/>
              </w:rPr>
              <w:t>Demonstrates that the book is not strictly chronological.</w:t>
            </w:r>
          </w:p>
        </w:tc>
      </w:tr>
      <w:tr>
        <w:tc>
          <w:tcPr>
            <w:tcW w:type="dxa" w:w="3561"/>
            <w:vAlign w:val="top"/>
          </w:tcPr>
          <w:p>
            <w:pPr>
              <w:spacing w:after="0" w:line="228" w:lineRule="auto"/>
            </w:pPr>
            <w:r>
              <w:rPr>
                <w:rFonts w:ascii="Times New Roman" w:hAnsi="Times New Roman"/>
                <w:sz w:val="13"/>
              </w:rPr>
              <w:t>Num. 10:11</w:t>
            </w:r>
          </w:p>
        </w:tc>
        <w:tc>
          <w:tcPr>
            <w:tcW w:type="dxa" w:w="3561"/>
            <w:vAlign w:val="top"/>
          </w:tcPr>
          <w:p>
            <w:pPr>
              <w:spacing w:after="0" w:line="228" w:lineRule="auto"/>
            </w:pPr>
            <w:r>
              <w:rPr>
                <w:rFonts w:ascii="Times New Roman" w:hAnsi="Times New Roman"/>
                <w:sz w:val="13"/>
              </w:rPr>
              <w:t>20th day, 2nd month, 2nd year</w:t>
            </w:r>
          </w:p>
        </w:tc>
        <w:tc>
          <w:tcPr>
            <w:tcW w:type="dxa" w:w="3561"/>
            <w:vAlign w:val="top"/>
          </w:tcPr>
          <w:p>
            <w:pPr>
              <w:spacing w:after="0" w:line="228" w:lineRule="auto"/>
            </w:pPr>
            <w:r>
              <w:rPr>
                <w:rFonts w:ascii="Times New Roman" w:hAnsi="Times New Roman"/>
                <w:sz w:val="13"/>
              </w:rPr>
              <w:t>Departure from Sinai begins.</w:t>
            </w:r>
          </w:p>
        </w:tc>
      </w:tr>
      <w:tr>
        <w:tc>
          <w:tcPr>
            <w:tcW w:type="dxa" w:w="3561"/>
            <w:vAlign w:val="top"/>
          </w:tcPr>
          <w:p>
            <w:pPr>
              <w:spacing w:after="0" w:line="228" w:lineRule="auto"/>
            </w:pPr>
            <w:r>
              <w:rPr>
                <w:rFonts w:ascii="Times New Roman" w:hAnsi="Times New Roman"/>
                <w:sz w:val="13"/>
              </w:rPr>
              <w:t>Num. 20:1 / 33:38</w:t>
            </w:r>
          </w:p>
        </w:tc>
        <w:tc>
          <w:tcPr>
            <w:tcW w:type="dxa" w:w="3561"/>
            <w:vAlign w:val="top"/>
          </w:tcPr>
          <w:p>
            <w:pPr>
              <w:spacing w:after="0" w:line="228" w:lineRule="auto"/>
            </w:pPr>
            <w:r>
              <w:rPr>
                <w:rFonts w:ascii="Times New Roman" w:hAnsi="Times New Roman"/>
                <w:sz w:val="13"/>
              </w:rPr>
              <w:t>events in 40th year</w:t>
            </w:r>
          </w:p>
        </w:tc>
        <w:tc>
          <w:tcPr>
            <w:tcW w:type="dxa" w:w="3561"/>
            <w:vAlign w:val="top"/>
          </w:tcPr>
          <w:p>
            <w:pPr>
              <w:spacing w:after="0" w:line="228" w:lineRule="auto"/>
            </w:pPr>
            <w:r>
              <w:rPr>
                <w:rFonts w:ascii="Times New Roman" w:hAnsi="Times New Roman"/>
                <w:sz w:val="13"/>
              </w:rPr>
              <w:t>Later narrative reaches final wilderness year.</w:t>
            </w:r>
          </w:p>
        </w:tc>
      </w:tr>
      <w:tr>
        <w:tc>
          <w:tcPr>
            <w:tcW w:type="dxa" w:w="3561"/>
            <w:vAlign w:val="top"/>
          </w:tcPr>
          <w:p>
            <w:pPr>
              <w:spacing w:after="0" w:line="228" w:lineRule="auto"/>
            </w:pPr>
            <w:r>
              <w:rPr>
                <w:rFonts w:ascii="Times New Roman" w:hAnsi="Times New Roman"/>
                <w:sz w:val="13"/>
              </w:rPr>
              <w:t>Acts 7:38</w:t>
            </w:r>
          </w:p>
        </w:tc>
        <w:tc>
          <w:tcPr>
            <w:tcW w:type="dxa" w:w="3561"/>
            <w:vAlign w:val="top"/>
          </w:tcPr>
          <w:p>
            <w:pPr>
              <w:spacing w:after="0" w:line="228" w:lineRule="auto"/>
            </w:pPr>
            <w:r>
              <w:rPr>
                <w:rFonts w:ascii="Times New Roman" w:hAnsi="Times New Roman"/>
                <w:sz w:val="13"/>
              </w:rPr>
              <w:t>ecclesia in the wilderness</w:t>
            </w:r>
          </w:p>
        </w:tc>
        <w:tc>
          <w:tcPr>
            <w:tcW w:type="dxa" w:w="3561"/>
            <w:vAlign w:val="top"/>
          </w:tcPr>
          <w:p>
            <w:pPr>
              <w:spacing w:after="0" w:line="228" w:lineRule="auto"/>
            </w:pPr>
            <w:r>
              <w:rPr>
                <w:rFonts w:ascii="Times New Roman" w:hAnsi="Times New Roman"/>
                <w:sz w:val="13"/>
              </w:rPr>
              <w:t>Direct NT description of Israel’s wilderness congregation.</w:t>
            </w:r>
          </w:p>
        </w:tc>
      </w:tr>
      <w:tr>
        <w:tc>
          <w:tcPr>
            <w:tcW w:type="dxa" w:w="3561"/>
            <w:vAlign w:val="top"/>
          </w:tcPr>
          <w:p>
            <w:pPr>
              <w:spacing w:after="0" w:line="228" w:lineRule="auto"/>
            </w:pPr>
            <w:r>
              <w:rPr>
                <w:rFonts w:ascii="Times New Roman" w:hAnsi="Times New Roman"/>
                <w:sz w:val="13"/>
              </w:rPr>
              <w:t>1 Cor. 10:6,11</w:t>
            </w:r>
          </w:p>
        </w:tc>
        <w:tc>
          <w:tcPr>
            <w:tcW w:type="dxa" w:w="3561"/>
            <w:vAlign w:val="top"/>
          </w:tcPr>
          <w:p>
            <w:pPr>
              <w:spacing w:after="0" w:line="228" w:lineRule="auto"/>
            </w:pPr>
            <w:r>
              <w:rPr>
                <w:rFonts w:ascii="Times New Roman" w:hAnsi="Times New Roman"/>
                <w:sz w:val="13"/>
              </w:rPr>
              <w:t>examples/types and admonition</w:t>
            </w:r>
          </w:p>
        </w:tc>
        <w:tc>
          <w:tcPr>
            <w:tcW w:type="dxa" w:w="3561"/>
            <w:vAlign w:val="top"/>
          </w:tcPr>
          <w:p>
            <w:pPr>
              <w:spacing w:after="0" w:line="228" w:lineRule="auto"/>
            </w:pPr>
            <w:r>
              <w:rPr>
                <w:rFonts w:ascii="Times New Roman" w:hAnsi="Times New Roman"/>
                <w:sz w:val="13"/>
              </w:rPr>
              <w:t>Inspired basis for ecclesial application.</w:t>
            </w:r>
          </w:p>
        </w:tc>
      </w:tr>
      <w:tr>
        <w:tc>
          <w:tcPr>
            <w:tcW w:type="dxa" w:w="3561"/>
            <w:vAlign w:val="top"/>
          </w:tcPr>
          <w:p>
            <w:pPr>
              <w:spacing w:after="0" w:line="228" w:lineRule="auto"/>
            </w:pPr>
            <w:r>
              <w:rPr>
                <w:rFonts w:ascii="Times New Roman" w:hAnsi="Times New Roman"/>
                <w:sz w:val="13"/>
              </w:rPr>
              <w:t>Heb. 3:17–19</w:t>
            </w:r>
          </w:p>
        </w:tc>
        <w:tc>
          <w:tcPr>
            <w:tcW w:type="dxa" w:w="3561"/>
            <w:vAlign w:val="top"/>
          </w:tcPr>
          <w:p>
            <w:pPr>
              <w:spacing w:after="0" w:line="228" w:lineRule="auto"/>
            </w:pPr>
            <w:r>
              <w:rPr>
                <w:rFonts w:ascii="Times New Roman" w:hAnsi="Times New Roman"/>
                <w:sz w:val="13"/>
              </w:rPr>
              <w:t>unbelief excludes from rest</w:t>
            </w:r>
          </w:p>
        </w:tc>
        <w:tc>
          <w:tcPr>
            <w:tcW w:type="dxa" w:w="3561"/>
            <w:vAlign w:val="top"/>
          </w:tcPr>
          <w:p>
            <w:pPr>
              <w:spacing w:after="0" w:line="228" w:lineRule="auto"/>
            </w:pPr>
            <w:r>
              <w:rPr>
                <w:rFonts w:ascii="Times New Roman" w:hAnsi="Times New Roman"/>
                <w:sz w:val="13"/>
              </w:rPr>
              <w:t>NT interpretation of wilderness failure.</w:t>
            </w:r>
          </w:p>
        </w:tc>
      </w:tr>
      <w:tr>
        <w:tc>
          <w:tcPr>
            <w:tcW w:type="dxa" w:w="3561"/>
            <w:vAlign w:val="top"/>
          </w:tcPr>
          <w:p>
            <w:pPr>
              <w:spacing w:after="0" w:line="228" w:lineRule="auto"/>
            </w:pPr>
            <w:r>
              <w:rPr>
                <w:rFonts w:ascii="Times New Roman" w:hAnsi="Times New Roman"/>
                <w:sz w:val="13"/>
              </w:rPr>
              <w:t>Rom. 11:22</w:t>
            </w:r>
          </w:p>
        </w:tc>
        <w:tc>
          <w:tcPr>
            <w:tcW w:type="dxa" w:w="3561"/>
            <w:vAlign w:val="top"/>
          </w:tcPr>
          <w:p>
            <w:pPr>
              <w:spacing w:after="0" w:line="228" w:lineRule="auto"/>
            </w:pPr>
            <w:r>
              <w:rPr>
                <w:rFonts w:ascii="Times New Roman" w:hAnsi="Times New Roman"/>
                <w:sz w:val="13"/>
              </w:rPr>
              <w:t>goodness and severity</w:t>
            </w:r>
          </w:p>
        </w:tc>
        <w:tc>
          <w:tcPr>
            <w:tcW w:type="dxa" w:w="3561"/>
            <w:vAlign w:val="top"/>
          </w:tcPr>
          <w:p>
            <w:pPr>
              <w:spacing w:after="0" w:line="228" w:lineRule="auto"/>
            </w:pPr>
            <w:r>
              <w:rPr>
                <w:rFonts w:ascii="Times New Roman" w:hAnsi="Times New Roman"/>
                <w:sz w:val="13"/>
              </w:rPr>
              <w:t>Published Mansfield thematic phrase.</w:t>
            </w:r>
          </w:p>
        </w:tc>
      </w:tr>
      <w:tr>
        <w:tc>
          <w:tcPr>
            <w:tcW w:type="dxa" w:w="3561"/>
            <w:vAlign w:val="top"/>
          </w:tcPr>
          <w:p>
            <w:pPr>
              <w:spacing w:after="0" w:line="228" w:lineRule="auto"/>
            </w:pPr>
            <w:r>
              <w:rPr>
                <w:rFonts w:ascii="Times New Roman" w:hAnsi="Times New Roman"/>
                <w:sz w:val="13"/>
              </w:rPr>
              <w:t>HP heading</w:t>
            </w:r>
          </w:p>
        </w:tc>
        <w:tc>
          <w:tcPr>
            <w:tcW w:type="dxa" w:w="3561"/>
            <w:vAlign w:val="top"/>
          </w:tcPr>
          <w:p>
            <w:pPr>
              <w:spacing w:after="0" w:line="228" w:lineRule="auto"/>
            </w:pPr>
            <w:r>
              <w:rPr>
                <w:rFonts w:ascii="Times New Roman" w:hAnsi="Times New Roman"/>
                <w:sz w:val="13"/>
              </w:rPr>
              <w:t>Victory Through Probation</w:t>
            </w:r>
          </w:p>
        </w:tc>
        <w:tc>
          <w:tcPr>
            <w:tcW w:type="dxa" w:w="3561"/>
            <w:vAlign w:val="top"/>
          </w:tcPr>
          <w:p>
            <w:pPr>
              <w:spacing w:after="0" w:line="228" w:lineRule="auto"/>
            </w:pPr>
            <w:r>
              <w:rPr>
                <w:rFonts w:ascii="Times New Roman" w:hAnsi="Times New Roman"/>
                <w:sz w:val="13"/>
              </w:rPr>
              <w:t>Preserved as the photographed Bible’s principal heading.</w:t>
            </w:r>
          </w:p>
        </w:tc>
      </w:tr>
      <w:tr>
        <w:tc>
          <w:tcPr>
            <w:tcW w:type="dxa" w:w="3561"/>
            <w:vAlign w:val="top"/>
          </w:tcPr>
          <w:p>
            <w:pPr>
              <w:spacing w:after="0" w:line="228" w:lineRule="auto"/>
            </w:pPr>
            <w:r>
              <w:rPr>
                <w:rFonts w:ascii="Times New Roman" w:hAnsi="Times New Roman"/>
                <w:sz w:val="13"/>
              </w:rPr>
              <w:t>Published heading</w:t>
            </w:r>
          </w:p>
        </w:tc>
        <w:tc>
          <w:tcPr>
            <w:tcW w:type="dxa" w:w="3561"/>
            <w:vAlign w:val="top"/>
          </w:tcPr>
          <w:p>
            <w:pPr>
              <w:spacing w:after="0" w:line="228" w:lineRule="auto"/>
            </w:pPr>
            <w:r>
              <w:rPr>
                <w:rFonts w:ascii="Times New Roman" w:hAnsi="Times New Roman"/>
                <w:sz w:val="13"/>
              </w:rPr>
              <w:t>Behold the Goodness and Severity of God / Victory Through Trial</w:t>
            </w:r>
          </w:p>
        </w:tc>
        <w:tc>
          <w:tcPr>
            <w:tcW w:type="dxa" w:w="3561"/>
            <w:vAlign w:val="top"/>
          </w:tcPr>
          <w:p>
            <w:pPr>
              <w:spacing w:after="0" w:line="228" w:lineRule="auto"/>
            </w:pPr>
            <w:r>
              <w:rPr>
                <w:rFonts w:ascii="Times New Roman" w:hAnsi="Times New Roman"/>
                <w:sz w:val="13"/>
              </w:rPr>
              <w:t>Related Mansfield editorial titles, not contradictions.</w:t>
            </w:r>
          </w:p>
        </w:tc>
      </w:tr>
      <w:tr>
        <w:tc>
          <w:tcPr>
            <w:tcW w:type="dxa" w:w="3561"/>
            <w:vAlign w:val="top"/>
          </w:tcPr>
          <w:p>
            <w:pPr>
              <w:spacing w:after="0" w:line="228" w:lineRule="auto"/>
            </w:pPr>
            <w:r>
              <w:rPr>
                <w:rFonts w:ascii="Times New Roman" w:hAnsi="Times New Roman"/>
                <w:sz w:val="13"/>
              </w:rPr>
              <w:t>Structure</w:t>
            </w:r>
          </w:p>
        </w:tc>
        <w:tc>
          <w:tcPr>
            <w:tcW w:type="dxa" w:w="3561"/>
            <w:vAlign w:val="top"/>
          </w:tcPr>
          <w:p>
            <w:pPr>
              <w:spacing w:after="0" w:line="228" w:lineRule="auto"/>
            </w:pPr>
            <w:r>
              <w:rPr>
                <w:rFonts w:ascii="Times New Roman" w:hAnsi="Times New Roman"/>
                <w:sz w:val="13"/>
              </w:rPr>
              <w:t>1–10; 11–19; 20–36</w:t>
            </w:r>
          </w:p>
        </w:tc>
        <w:tc>
          <w:tcPr>
            <w:tcW w:type="dxa" w:w="3561"/>
            <w:vAlign w:val="top"/>
          </w:tcPr>
          <w:p>
            <w:pPr>
              <w:spacing w:after="0" w:line="228" w:lineRule="auto"/>
            </w:pPr>
            <w:r>
              <w:rPr>
                <w:rFonts w:ascii="Times New Roman" w:hAnsi="Times New Roman"/>
                <w:sz w:val="13"/>
              </w:rPr>
              <w:t>Published broad three-part structure; HP notes further subdivide the later movements.</w:t>
            </w:r>
          </w:p>
        </w:tc>
      </w:tr>
    </w:tbl>
    <w:p>
      <w:pPr>
        <w:pStyle w:val="Heading1"/>
      </w:pPr>
      <w:r>
        <w:t>RESIDUAL UNCERTAINTIES</w:t>
      </w:r>
    </w:p>
    <w:p>
      <w:pPr/>
      <w:r>
        <w:rPr>
          <w:i w:val="0"/>
        </w:rPr>
        <w:t>The exact date of every event is not supplied, and Numbers intentionally groups some material thematically rather than chronologically. Mansfield’s detailed numerical and prophetic applications are retained only where they illuminate, rather than replace, the explicit historical and New Testament interpretation.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INTRODUCTION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