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1</w:t>
      </w:r>
    </w:p>
    <w:p>
      <w:pPr>
        <w:pStyle w:val="Subtitle"/>
      </w:pPr>
      <w:r>
        <w:t>CENSUS OF WARRIORS • COUNTED BY NAME • TWENTY YEARS AND UPWARD • TRIBAL LEADERSHIP • 603,550 • LEVITES SET APART FOR SANCTUARY SERVICE</w:t>
      </w:r>
    </w:p>
    <w:p>
      <w:pPr/>
      <w:r>
        <w:rPr>
          <w:i/>
        </w:rPr>
        <w:t>H. P. Mansfield Bible notes — checked and arranged in Expositor style</w:t>
      </w:r>
    </w:p>
    <w:p>
      <w:pPr/>
      <w:r>
        <w:rPr>
          <w:i w:val="0"/>
        </w:rPr>
        <w:t>Source: HPB 03-Lev12-Num36.PDF, Numbers 1 annotated pages; cross-checked with Mansfield’s Numbers Expositor.</w:t>
      </w:r>
    </w:p>
    <w:p>
      <w:pPr>
        <w:pStyle w:val="Heading1"/>
      </w:pPr>
      <w:r>
        <w:t>CHAPTER OVERVIEW</w:t>
      </w:r>
    </w:p>
    <w:p>
      <w:pPr/>
      <w:r>
        <w:rPr>
          <w:i w:val="0"/>
        </w:rPr>
        <w:t>Numbers opens with Yahweh organising the redeemed nation for responsibility. The census counts males twenty years and upward who are able to go forth to war, arranged by tribe, clan and fathers’ house.</w:t>
      </w:r>
    </w:p>
    <w:p>
      <w:pPr/>
      <w:r>
        <w:rPr>
          <w:i w:val="0"/>
        </w:rPr>
        <w:t>The Levites are not omitted from responsibility; they are assigned a different service around the tabernacle. Military order and sanctuary guardianship together form the ordered “ecclesia in the wilderness.”</w:t>
      </w:r>
    </w:p>
    <w:p>
      <w:pPr>
        <w:pStyle w:val="Heading1"/>
      </w:pPr>
      <w:r>
        <w:t>TIME, PLACE AND PURPOSE — NUMBERS 1:1–4</w:t>
      </w:r>
    </w:p>
    <w:p>
      <w:pPr>
        <w:pStyle w:val="Heading2"/>
      </w:pPr>
      <w:r>
        <w:t>Numbers 1:1 — exactly one month after tabernacle erection</w:t>
      </w:r>
    </w:p>
    <w:p>
      <w:pPr/>
      <w:r>
        <w:rPr>
          <w:i w:val="0"/>
        </w:rPr>
        <w:t>Yahweh speaks to Moses in the wilderness of Sinai, in the Tent of Meeting, on the first day of the second month of the second year. Exodus 40:17 dates erection of the tabernacle to the first day of the first month, so the opening census is one month later.</w:t>
      </w:r>
    </w:p>
    <w:p>
      <w:pPr>
        <w:pStyle w:val="Heading2"/>
      </w:pPr>
      <w:r>
        <w:t>Numbers 1:2 — families, fathers’ houses and names</w:t>
      </w:r>
    </w:p>
    <w:p>
      <w:pPr/>
      <w:r>
        <w:rPr>
          <w:i w:val="0"/>
        </w:rPr>
        <w:t>Israel is counted by mishpechoth, families/clans, and beth ’avoth, fathers’ houses, “with the number of their names.” The census preserves both individual identity and ordered corporate belonging.</w:t>
      </w:r>
    </w:p>
    <w:p>
      <w:pPr/>
      <w:r>
        <w:rPr>
          <w:i w:val="0"/>
        </w:rPr>
        <w:t>KJV “by their polls” later in the chapter is older English for heads/head-count, not a reference to voting.</w:t>
      </w:r>
    </w:p>
    <w:p>
      <w:pPr>
        <w:pStyle w:val="Heading2"/>
      </w:pPr>
      <w:r>
        <w:t>Numbers 1:3–4 — twenty years and upward, able for war</w:t>
      </w:r>
    </w:p>
    <w:p>
      <w:pPr/>
      <w:r>
        <w:rPr>
          <w:i w:val="0"/>
        </w:rPr>
        <w:t>The census concerns every male twenty years old and upward who is able to go forth to the tsava, host/army. This is a military census, not a count of Israel’s entire population.</w:t>
      </w:r>
    </w:p>
    <w:p>
      <w:pPr/>
      <w:r>
        <w:rPr>
          <w:i w:val="0"/>
        </w:rPr>
        <w:t>One appointed man from each tribe assists Moses and Aaron, giving representative leadership to the enumeration.</w:t>
      </w:r>
    </w:p>
    <w:p>
      <w:pPr>
        <w:pStyle w:val="Heading1"/>
      </w:pPr>
      <w:r>
        <w:t>THE TWELVE TRIBAL REPRESENTATIVES — NUMBERS 1:5–16</w:t>
      </w:r>
    </w:p>
    <w:p>
      <w:pPr>
        <w:pStyle w:val="Heading2"/>
      </w:pPr>
      <w:r>
        <w:t>Numbers 1:5–15 — named princes</w:t>
      </w:r>
    </w:p>
    <w:p>
      <w:pPr/>
      <w:r>
        <w:rPr>
          <w:i w:val="0"/>
        </w:rPr>
        <w:t>One leader is named for each non-Levite tribe. Levi is absent because its duties are handled separately.</w:t>
      </w:r>
    </w:p>
    <w:p>
      <w:pPr/>
      <w:r>
        <w:rPr>
          <w:i w:val="0"/>
        </w:rPr>
        <w:t>Mansfield derives extended spiritual sentences from the meanings of the leaders’ names. Individual Hebrew name meanings can be useful, but the composite sentences are interpretive and should not be treated as inspired hidden text.</w:t>
      </w:r>
    </w:p>
    <w:p>
      <w:pPr>
        <w:pStyle w:val="Heading2"/>
      </w:pPr>
      <w:r>
        <w:t>Numbers 1:16 — called leaders of the congregation</w:t>
      </w:r>
    </w:p>
    <w:p>
      <w:pPr/>
      <w:r>
        <w:rPr>
          <w:i w:val="0"/>
        </w:rPr>
        <w:t>The men are the appointed/recognised leaders of the ‘edah, congregation/assembly, heads of Israel’s larger family units. Authority is public and ordered under Moses and Aaron.</w:t>
      </w:r>
    </w:p>
    <w:p>
      <w:pPr>
        <w:pStyle w:val="Heading1"/>
      </w:pPr>
      <w:r>
        <w:t>THE TRIBES NUMBERED — NUMBERS 1:17–46</w:t>
      </w:r>
    </w:p>
    <w:p>
      <w:pPr>
        <w:pStyle w:val="Heading2"/>
      </w:pPr>
      <w:r>
        <w:t>Numbers 1:17–19 — pedigree declared</w:t>
      </w:r>
    </w:p>
    <w:p>
      <w:pPr/>
      <w:r>
        <w:rPr>
          <w:i w:val="0"/>
        </w:rPr>
        <w:t>The congregation assembles and declares/registers descent according to families and fathers’ houses. The census is not anonymous; each warrior is located within Israel’s covenant structure.</w:t>
      </w:r>
    </w:p>
    <w:p>
      <w:pPr>
        <w:pStyle w:val="Heading2"/>
      </w:pPr>
      <w:r>
        <w:t>Numbers 1:20–43 — tribe-by-tribe totals</w:t>
      </w:r>
    </w:p>
    <w:p>
      <w:pPr/>
      <w:r>
        <w:rPr>
          <w:i w:val="0"/>
        </w:rPr>
        <w:t>Each tribe is counted separately. Reuben is listed first in the enumeration as Jacob’s natural firstborn, while later camp order gives Judah the leading marching position.</w:t>
      </w:r>
    </w:p>
    <w:p>
      <w:pPr/>
      <w:r>
        <w:rPr>
          <w:i w:val="0"/>
        </w:rPr>
        <w:t>The chapter’s figures should be read as the stated military totals without trying to reconstruct a complete modern demographic model from them.</w:t>
      </w:r>
    </w:p>
    <w:p>
      <w:pPr>
        <w:pStyle w:val="Heading2"/>
      </w:pPr>
      <w:r>
        <w:t>Numbers 1:44–46 — 603,550</w:t>
      </w:r>
    </w:p>
    <w:p>
      <w:pPr/>
      <w:r>
        <w:rPr>
          <w:i w:val="0"/>
        </w:rPr>
        <w:t>The total numbered men able for war is 603,550. The same figure appears in Exodus 38:26 in connection with the half-shekel reckoning; Numbers now formally organises the host by tribe and military responsibility.</w:t>
      </w:r>
    </w:p>
    <w:p>
      <w:pPr>
        <w:pStyle w:val="Heading1"/>
      </w:pPr>
      <w:r>
        <w:t>LEVITES APPOINTED TO A DIFFERENT WARFARE — NUMBERS 1:47–54</w:t>
      </w:r>
    </w:p>
    <w:p>
      <w:pPr>
        <w:pStyle w:val="Heading2"/>
      </w:pPr>
      <w:r>
        <w:t>Numbers 1:47–50 — Levi not numbered with the army</w:t>
      </w:r>
    </w:p>
    <w:p>
      <w:pPr/>
      <w:r>
        <w:rPr>
          <w:i w:val="0"/>
        </w:rPr>
        <w:t>The Levites are excluded from this military census and appointed over the tabernacle of testimony, its vessels, transport, erection and dismantling.</w:t>
      </w:r>
    </w:p>
    <w:p>
      <w:pPr/>
      <w:r>
        <w:rPr>
          <w:i w:val="0"/>
        </w:rPr>
        <w:t>Exemption from ordinary military numbering is not exemption from disciplined service.</w:t>
      </w:r>
    </w:p>
    <w:p>
      <w:pPr>
        <w:pStyle w:val="Heading2"/>
      </w:pPr>
      <w:r>
        <w:t>Numbers 1:51 — unauthorised approach</w:t>
      </w:r>
    </w:p>
    <w:p>
      <w:pPr/>
      <w:r>
        <w:rPr>
          <w:i w:val="0"/>
        </w:rPr>
        <w:t>When the tabernacle moves, Levites dismantle and re-erect it. The zar/unauthorised person who intrudes upon this sanctuary role is subject to the stated covenant penalty.</w:t>
      </w:r>
    </w:p>
    <w:p>
      <w:pPr/>
      <w:r>
        <w:rPr>
          <w:i w:val="0"/>
        </w:rPr>
        <w:t>KJV “stranger” here does not simply mean a foreigner; the point is unauthorised approach.</w:t>
      </w:r>
    </w:p>
    <w:p>
      <w:pPr>
        <w:pStyle w:val="Heading2"/>
      </w:pPr>
      <w:r>
        <w:t>Numbers 1:52–53 — standards outside; Levites around the dwelling</w:t>
      </w:r>
    </w:p>
    <w:p>
      <w:pPr/>
      <w:r>
        <w:rPr>
          <w:i w:val="0"/>
        </w:rPr>
        <w:t>Each tribe camps under its own standard, while Levites camp around the tabernacle of testimony to keep its charge and prevent wrath upon the congregation.</w:t>
      </w:r>
    </w:p>
    <w:p>
      <w:pPr/>
      <w:r>
        <w:rPr>
          <w:i w:val="0"/>
        </w:rPr>
        <w:t>“Keep the charge” is service/guard language with a military flavour: holy things are protected from presumptuous intrusion.</w:t>
      </w:r>
    </w:p>
    <w:p>
      <w:pPr>
        <w:pStyle w:val="Heading2"/>
      </w:pPr>
      <w:r>
        <w:t>Numbers 1:54 — obedience to the command</w:t>
      </w:r>
    </w:p>
    <w:p>
      <w:pPr/>
      <w:r>
        <w:rPr>
          <w:i w:val="0"/>
        </w:rPr>
        <w:t>The chapter closes by recording that Israel did according to all Yahweh commanded Moses. Order is established before the march begins.</w:t>
      </w:r>
    </w:p>
    <w:p>
      <w:pPr>
        <w:pStyle w:val="Heading1"/>
      </w:pPr>
      <w:r>
        <w:t>PRINCIPAL THEMES</w:t>
      </w:r>
    </w:p>
    <w:p>
      <w:pPr>
        <w:ind w:left="259" w:hanging="202"/>
      </w:pPr>
      <w:r>
        <w:rPr>
          <w:b/>
        </w:rPr>
        <w:t xml:space="preserve">• </w:t>
      </w:r>
      <w:r>
        <w:t>The first census is specifically military, not a total-population count.</w:t>
      </w:r>
    </w:p>
    <w:p>
      <w:pPr>
        <w:ind w:left="259" w:hanging="202"/>
      </w:pPr>
      <w:r>
        <w:rPr>
          <w:b/>
        </w:rPr>
        <w:t xml:space="preserve">• </w:t>
      </w:r>
      <w:r>
        <w:t>Every warrior is counted within name, family, fathers’ house and tribe.</w:t>
      </w:r>
    </w:p>
    <w:p>
      <w:pPr>
        <w:ind w:left="259" w:hanging="202"/>
      </w:pPr>
      <w:r>
        <w:rPr>
          <w:b/>
        </w:rPr>
        <w:t xml:space="preserve">• </w:t>
      </w:r>
      <w:r>
        <w:t>Leadership is representative and publicly appointed.</w:t>
      </w:r>
    </w:p>
    <w:p>
      <w:pPr>
        <w:ind w:left="259" w:hanging="202"/>
      </w:pPr>
      <w:r>
        <w:rPr>
          <w:b/>
        </w:rPr>
        <w:t xml:space="preserve">• </w:t>
      </w:r>
      <w:r>
        <w:t>603,550 is the stated fighting total.</w:t>
      </w:r>
    </w:p>
    <w:p>
      <w:pPr>
        <w:ind w:left="259" w:hanging="202"/>
      </w:pPr>
      <w:r>
        <w:rPr>
          <w:b/>
        </w:rPr>
        <w:t xml:space="preserve">• </w:t>
      </w:r>
      <w:r>
        <w:t>Levi is not excused from service but reassigned to sanctuary responsibility.</w:t>
      </w:r>
    </w:p>
    <w:p>
      <w:pPr>
        <w:ind w:left="259" w:hanging="202"/>
      </w:pPr>
      <w:r>
        <w:rPr>
          <w:b/>
        </w:rPr>
        <w:t xml:space="preserve">• </w:t>
      </w:r>
      <w:r>
        <w:t>KJV “stranger” in sanctuary warnings means an unauthorised person, not merely an ethnic foreigner.</w:t>
      </w:r>
    </w:p>
    <w:p>
      <w:pPr>
        <w:ind w:left="259" w:hanging="202"/>
      </w:pPr>
      <w:r>
        <w:rPr>
          <w:b/>
        </w:rPr>
        <w:t xml:space="preserve">• </w:t>
      </w:r>
      <w:r>
        <w:t>Mansfield’s long sentences built from personal name meanings are interpretive rather than inspired hidden messages.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 / item</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8" w:lineRule="auto"/>
            </w:pPr>
            <w:r>
              <w:rPr>
                <w:rFonts w:ascii="Times New Roman" w:hAnsi="Times New Roman"/>
                <w:sz w:val="13"/>
              </w:rPr>
              <w:t>Num. 1:1</w:t>
            </w:r>
          </w:p>
        </w:tc>
        <w:tc>
          <w:tcPr>
            <w:tcW w:type="dxa" w:w="3561"/>
            <w:vAlign w:val="top"/>
          </w:tcPr>
          <w:p>
            <w:pPr>
              <w:spacing w:after="0" w:line="228" w:lineRule="auto"/>
            </w:pPr>
            <w:r>
              <w:rPr>
                <w:rFonts w:ascii="Times New Roman" w:hAnsi="Times New Roman"/>
                <w:sz w:val="13"/>
              </w:rPr>
              <w:t>one month after Ex. 40:17</w:t>
            </w:r>
          </w:p>
        </w:tc>
        <w:tc>
          <w:tcPr>
            <w:tcW w:type="dxa" w:w="3561"/>
            <w:vAlign w:val="top"/>
          </w:tcPr>
          <w:p>
            <w:pPr>
              <w:spacing w:after="0" w:line="228" w:lineRule="auto"/>
            </w:pPr>
            <w:r>
              <w:rPr>
                <w:rFonts w:ascii="Times New Roman" w:hAnsi="Times New Roman"/>
                <w:sz w:val="13"/>
              </w:rPr>
              <w:t>Both dates fall on first day of successive months in year two.</w:t>
            </w:r>
          </w:p>
        </w:tc>
      </w:tr>
      <w:tr>
        <w:tc>
          <w:tcPr>
            <w:tcW w:type="dxa" w:w="3561"/>
            <w:vAlign w:val="top"/>
          </w:tcPr>
          <w:p>
            <w:pPr>
              <w:spacing w:after="0" w:line="228" w:lineRule="auto"/>
            </w:pPr>
            <w:r>
              <w:rPr>
                <w:rFonts w:ascii="Times New Roman" w:hAnsi="Times New Roman"/>
                <w:sz w:val="13"/>
              </w:rPr>
              <w:t>Num. 1:2</w:t>
            </w:r>
          </w:p>
        </w:tc>
        <w:tc>
          <w:tcPr>
            <w:tcW w:type="dxa" w:w="3561"/>
            <w:vAlign w:val="top"/>
          </w:tcPr>
          <w:p>
            <w:pPr>
              <w:spacing w:after="0" w:line="228" w:lineRule="auto"/>
            </w:pPr>
            <w:r>
              <w:rPr>
                <w:rFonts w:ascii="Times New Roman" w:hAnsi="Times New Roman"/>
                <w:sz w:val="13"/>
              </w:rPr>
              <w:t>families / fathers’ houses / names</w:t>
            </w:r>
          </w:p>
        </w:tc>
        <w:tc>
          <w:tcPr>
            <w:tcW w:type="dxa" w:w="3561"/>
            <w:vAlign w:val="top"/>
          </w:tcPr>
          <w:p>
            <w:pPr>
              <w:spacing w:after="0" w:line="228" w:lineRule="auto"/>
            </w:pPr>
            <w:r>
              <w:rPr>
                <w:rFonts w:ascii="Times New Roman" w:hAnsi="Times New Roman"/>
                <w:sz w:val="13"/>
              </w:rPr>
              <w:t>Individual identity nested within covenant structure.</w:t>
            </w:r>
          </w:p>
        </w:tc>
      </w:tr>
      <w:tr>
        <w:tc>
          <w:tcPr>
            <w:tcW w:type="dxa" w:w="3561"/>
            <w:vAlign w:val="top"/>
          </w:tcPr>
          <w:p>
            <w:pPr>
              <w:spacing w:after="0" w:line="228" w:lineRule="auto"/>
            </w:pPr>
            <w:r>
              <w:rPr>
                <w:rFonts w:ascii="Times New Roman" w:hAnsi="Times New Roman"/>
                <w:sz w:val="13"/>
              </w:rPr>
              <w:t>Num. 1:2</w:t>
            </w:r>
          </w:p>
        </w:tc>
        <w:tc>
          <w:tcPr>
            <w:tcW w:type="dxa" w:w="3561"/>
            <w:vAlign w:val="top"/>
          </w:tcPr>
          <w:p>
            <w:pPr>
              <w:spacing w:after="0" w:line="228" w:lineRule="auto"/>
            </w:pPr>
            <w:r>
              <w:rPr>
                <w:rFonts w:ascii="Times New Roman" w:hAnsi="Times New Roman"/>
                <w:sz w:val="13"/>
              </w:rPr>
              <w:t>“polls”</w:t>
            </w:r>
          </w:p>
        </w:tc>
        <w:tc>
          <w:tcPr>
            <w:tcW w:type="dxa" w:w="3561"/>
            <w:vAlign w:val="top"/>
          </w:tcPr>
          <w:p>
            <w:pPr>
              <w:spacing w:after="0" w:line="228" w:lineRule="auto"/>
            </w:pPr>
            <w:r>
              <w:rPr>
                <w:rFonts w:ascii="Times New Roman" w:hAnsi="Times New Roman"/>
                <w:sz w:val="13"/>
              </w:rPr>
              <w:t>Old English heads/head-count.</w:t>
            </w:r>
          </w:p>
        </w:tc>
      </w:tr>
      <w:tr>
        <w:tc>
          <w:tcPr>
            <w:tcW w:type="dxa" w:w="3561"/>
            <w:vAlign w:val="top"/>
          </w:tcPr>
          <w:p>
            <w:pPr>
              <w:spacing w:after="0" w:line="228" w:lineRule="auto"/>
            </w:pPr>
            <w:r>
              <w:rPr>
                <w:rFonts w:ascii="Times New Roman" w:hAnsi="Times New Roman"/>
                <w:sz w:val="13"/>
              </w:rPr>
              <w:t>Num. 1:3</w:t>
            </w:r>
          </w:p>
        </w:tc>
        <w:tc>
          <w:tcPr>
            <w:tcW w:type="dxa" w:w="3561"/>
            <w:vAlign w:val="top"/>
          </w:tcPr>
          <w:p>
            <w:pPr>
              <w:spacing w:after="0" w:line="228" w:lineRule="auto"/>
            </w:pPr>
            <w:r>
              <w:rPr>
                <w:rFonts w:ascii="Times New Roman" w:hAnsi="Times New Roman"/>
                <w:sz w:val="13"/>
              </w:rPr>
              <w:t>tsava</w:t>
            </w:r>
          </w:p>
        </w:tc>
        <w:tc>
          <w:tcPr>
            <w:tcW w:type="dxa" w:w="3561"/>
            <w:vAlign w:val="top"/>
          </w:tcPr>
          <w:p>
            <w:pPr>
              <w:spacing w:after="0" w:line="228" w:lineRule="auto"/>
            </w:pPr>
            <w:r>
              <w:rPr>
                <w:rFonts w:ascii="Times New Roman" w:hAnsi="Times New Roman"/>
                <w:sz w:val="13"/>
              </w:rPr>
              <w:t>Host/army; military census.</w:t>
            </w:r>
          </w:p>
        </w:tc>
      </w:tr>
      <w:tr>
        <w:tc>
          <w:tcPr>
            <w:tcW w:type="dxa" w:w="3561"/>
            <w:vAlign w:val="top"/>
          </w:tcPr>
          <w:p>
            <w:pPr>
              <w:spacing w:after="0" w:line="228" w:lineRule="auto"/>
            </w:pPr>
            <w:r>
              <w:rPr>
                <w:rFonts w:ascii="Times New Roman" w:hAnsi="Times New Roman"/>
                <w:sz w:val="13"/>
              </w:rPr>
              <w:t>Num. 1:3</w:t>
            </w:r>
          </w:p>
        </w:tc>
        <w:tc>
          <w:tcPr>
            <w:tcW w:type="dxa" w:w="3561"/>
            <w:vAlign w:val="top"/>
          </w:tcPr>
          <w:p>
            <w:pPr>
              <w:spacing w:after="0" w:line="228" w:lineRule="auto"/>
            </w:pPr>
            <w:r>
              <w:rPr>
                <w:rFonts w:ascii="Times New Roman" w:hAnsi="Times New Roman"/>
                <w:sz w:val="13"/>
              </w:rPr>
              <w:t>20 years and upward</w:t>
            </w:r>
          </w:p>
        </w:tc>
        <w:tc>
          <w:tcPr>
            <w:tcW w:type="dxa" w:w="3561"/>
            <w:vAlign w:val="top"/>
          </w:tcPr>
          <w:p>
            <w:pPr>
              <w:spacing w:after="0" w:line="228" w:lineRule="auto"/>
            </w:pPr>
            <w:r>
              <w:rPr>
                <w:rFonts w:ascii="Times New Roman" w:hAnsi="Times New Roman"/>
                <w:sz w:val="13"/>
              </w:rPr>
              <w:t>Age threshold for men able to go forth to war.</w:t>
            </w:r>
          </w:p>
        </w:tc>
      </w:tr>
      <w:tr>
        <w:tc>
          <w:tcPr>
            <w:tcW w:type="dxa" w:w="3561"/>
            <w:vAlign w:val="top"/>
          </w:tcPr>
          <w:p>
            <w:pPr>
              <w:spacing w:after="0" w:line="228" w:lineRule="auto"/>
            </w:pPr>
            <w:r>
              <w:rPr>
                <w:rFonts w:ascii="Times New Roman" w:hAnsi="Times New Roman"/>
                <w:sz w:val="13"/>
              </w:rPr>
              <w:t>Num. 1:5–15</w:t>
            </w:r>
          </w:p>
        </w:tc>
        <w:tc>
          <w:tcPr>
            <w:tcW w:type="dxa" w:w="3561"/>
            <w:vAlign w:val="top"/>
          </w:tcPr>
          <w:p>
            <w:pPr>
              <w:spacing w:after="0" w:line="228" w:lineRule="auto"/>
            </w:pPr>
            <w:r>
              <w:rPr>
                <w:rFonts w:ascii="Times New Roman" w:hAnsi="Times New Roman"/>
                <w:sz w:val="13"/>
              </w:rPr>
              <w:t>leaders’ name meanings</w:t>
            </w:r>
          </w:p>
        </w:tc>
        <w:tc>
          <w:tcPr>
            <w:tcW w:type="dxa" w:w="3561"/>
            <w:vAlign w:val="top"/>
          </w:tcPr>
          <w:p>
            <w:pPr>
              <w:spacing w:after="0" w:line="228" w:lineRule="auto"/>
            </w:pPr>
            <w:r>
              <w:rPr>
                <w:rFonts w:ascii="Times New Roman" w:hAnsi="Times New Roman"/>
                <w:sz w:val="13"/>
              </w:rPr>
              <w:t>Individual etymologies may help; composite prophetic sentences remain Mansfield interpretation.</w:t>
            </w:r>
          </w:p>
        </w:tc>
      </w:tr>
      <w:tr>
        <w:tc>
          <w:tcPr>
            <w:tcW w:type="dxa" w:w="3561"/>
            <w:vAlign w:val="top"/>
          </w:tcPr>
          <w:p>
            <w:pPr>
              <w:spacing w:after="0" w:line="228" w:lineRule="auto"/>
            </w:pPr>
            <w:r>
              <w:rPr>
                <w:rFonts w:ascii="Times New Roman" w:hAnsi="Times New Roman"/>
                <w:sz w:val="13"/>
              </w:rPr>
              <w:t>Num. 1:16</w:t>
            </w:r>
          </w:p>
        </w:tc>
        <w:tc>
          <w:tcPr>
            <w:tcW w:type="dxa" w:w="3561"/>
            <w:vAlign w:val="top"/>
          </w:tcPr>
          <w:p>
            <w:pPr>
              <w:spacing w:after="0" w:line="228" w:lineRule="auto"/>
            </w:pPr>
            <w:r>
              <w:rPr>
                <w:rFonts w:ascii="Times New Roman" w:hAnsi="Times New Roman"/>
                <w:sz w:val="13"/>
              </w:rPr>
              <w:t>‘edah</w:t>
            </w:r>
          </w:p>
        </w:tc>
        <w:tc>
          <w:tcPr>
            <w:tcW w:type="dxa" w:w="3561"/>
            <w:vAlign w:val="top"/>
          </w:tcPr>
          <w:p>
            <w:pPr>
              <w:spacing w:after="0" w:line="228" w:lineRule="auto"/>
            </w:pPr>
            <w:r>
              <w:rPr>
                <w:rFonts w:ascii="Times New Roman" w:hAnsi="Times New Roman"/>
                <w:sz w:val="13"/>
              </w:rPr>
              <w:t>Congregation/assembly.</w:t>
            </w:r>
          </w:p>
        </w:tc>
      </w:tr>
      <w:tr>
        <w:tc>
          <w:tcPr>
            <w:tcW w:type="dxa" w:w="3561"/>
            <w:vAlign w:val="top"/>
          </w:tcPr>
          <w:p>
            <w:pPr>
              <w:spacing w:after="0" w:line="228" w:lineRule="auto"/>
            </w:pPr>
            <w:r>
              <w:rPr>
                <w:rFonts w:ascii="Times New Roman" w:hAnsi="Times New Roman"/>
                <w:sz w:val="13"/>
              </w:rPr>
              <w:t>Num. 1:46</w:t>
            </w:r>
          </w:p>
        </w:tc>
        <w:tc>
          <w:tcPr>
            <w:tcW w:type="dxa" w:w="3561"/>
            <w:vAlign w:val="top"/>
          </w:tcPr>
          <w:p>
            <w:pPr>
              <w:spacing w:after="0" w:line="228" w:lineRule="auto"/>
            </w:pPr>
            <w:r>
              <w:rPr>
                <w:rFonts w:ascii="Times New Roman" w:hAnsi="Times New Roman"/>
                <w:sz w:val="13"/>
              </w:rPr>
              <w:t>603,550</w:t>
            </w:r>
          </w:p>
        </w:tc>
        <w:tc>
          <w:tcPr>
            <w:tcW w:type="dxa" w:w="3561"/>
            <w:vAlign w:val="top"/>
          </w:tcPr>
          <w:p>
            <w:pPr>
              <w:spacing w:after="0" w:line="228" w:lineRule="auto"/>
            </w:pPr>
            <w:r>
              <w:rPr>
                <w:rFonts w:ascii="Times New Roman" w:hAnsi="Times New Roman"/>
                <w:sz w:val="13"/>
              </w:rPr>
              <w:t>Explicit military total.</w:t>
            </w:r>
          </w:p>
        </w:tc>
      </w:tr>
      <w:tr>
        <w:tc>
          <w:tcPr>
            <w:tcW w:type="dxa" w:w="3561"/>
            <w:vAlign w:val="top"/>
          </w:tcPr>
          <w:p>
            <w:pPr>
              <w:spacing w:after="0" w:line="228" w:lineRule="auto"/>
            </w:pPr>
            <w:r>
              <w:rPr>
                <w:rFonts w:ascii="Times New Roman" w:hAnsi="Times New Roman"/>
                <w:sz w:val="13"/>
              </w:rPr>
              <w:t>Ex. 38:26</w:t>
            </w:r>
          </w:p>
        </w:tc>
        <w:tc>
          <w:tcPr>
            <w:tcW w:type="dxa" w:w="3561"/>
            <w:vAlign w:val="top"/>
          </w:tcPr>
          <w:p>
            <w:pPr>
              <w:spacing w:after="0" w:line="228" w:lineRule="auto"/>
            </w:pPr>
            <w:r>
              <w:rPr>
                <w:rFonts w:ascii="Times New Roman" w:hAnsi="Times New Roman"/>
                <w:sz w:val="13"/>
              </w:rPr>
              <w:t>603,550</w:t>
            </w:r>
          </w:p>
        </w:tc>
        <w:tc>
          <w:tcPr>
            <w:tcW w:type="dxa" w:w="3561"/>
            <w:vAlign w:val="top"/>
          </w:tcPr>
          <w:p>
            <w:pPr>
              <w:spacing w:after="0" w:line="228" w:lineRule="auto"/>
            </w:pPr>
            <w:r>
              <w:rPr>
                <w:rFonts w:ascii="Times New Roman" w:hAnsi="Times New Roman"/>
                <w:sz w:val="13"/>
              </w:rPr>
              <w:t>Same numerical figure in earlier half-shekel reckoning.</w:t>
            </w:r>
          </w:p>
        </w:tc>
      </w:tr>
      <w:tr>
        <w:tc>
          <w:tcPr>
            <w:tcW w:type="dxa" w:w="3561"/>
            <w:vAlign w:val="top"/>
          </w:tcPr>
          <w:p>
            <w:pPr>
              <w:spacing w:after="0" w:line="228" w:lineRule="auto"/>
            </w:pPr>
            <w:r>
              <w:rPr>
                <w:rFonts w:ascii="Times New Roman" w:hAnsi="Times New Roman"/>
                <w:sz w:val="13"/>
              </w:rPr>
              <w:t>Num. 1:47–50</w:t>
            </w:r>
          </w:p>
        </w:tc>
        <w:tc>
          <w:tcPr>
            <w:tcW w:type="dxa" w:w="3561"/>
            <w:vAlign w:val="top"/>
          </w:tcPr>
          <w:p>
            <w:pPr>
              <w:spacing w:after="0" w:line="228" w:lineRule="auto"/>
            </w:pPr>
            <w:r>
              <w:rPr>
                <w:rFonts w:ascii="Times New Roman" w:hAnsi="Times New Roman"/>
                <w:sz w:val="13"/>
              </w:rPr>
              <w:t>Levites excluded from military census</w:t>
            </w:r>
          </w:p>
        </w:tc>
        <w:tc>
          <w:tcPr>
            <w:tcW w:type="dxa" w:w="3561"/>
            <w:vAlign w:val="top"/>
          </w:tcPr>
          <w:p>
            <w:pPr>
              <w:spacing w:after="0" w:line="228" w:lineRule="auto"/>
            </w:pPr>
            <w:r>
              <w:rPr>
                <w:rFonts w:ascii="Times New Roman" w:hAnsi="Times New Roman"/>
                <w:sz w:val="13"/>
              </w:rPr>
              <w:t>Separate sanctuary appointment.</w:t>
            </w:r>
          </w:p>
        </w:tc>
      </w:tr>
      <w:tr>
        <w:tc>
          <w:tcPr>
            <w:tcW w:type="dxa" w:w="3561"/>
            <w:vAlign w:val="top"/>
          </w:tcPr>
          <w:p>
            <w:pPr>
              <w:spacing w:after="0" w:line="228" w:lineRule="auto"/>
            </w:pPr>
            <w:r>
              <w:rPr>
                <w:rFonts w:ascii="Times New Roman" w:hAnsi="Times New Roman"/>
                <w:sz w:val="13"/>
              </w:rPr>
              <w:t>Num. 1:51</w:t>
            </w:r>
          </w:p>
        </w:tc>
        <w:tc>
          <w:tcPr>
            <w:tcW w:type="dxa" w:w="3561"/>
            <w:vAlign w:val="top"/>
          </w:tcPr>
          <w:p>
            <w:pPr>
              <w:spacing w:after="0" w:line="228" w:lineRule="auto"/>
            </w:pPr>
            <w:r>
              <w:rPr>
                <w:rFonts w:ascii="Times New Roman" w:hAnsi="Times New Roman"/>
                <w:sz w:val="13"/>
              </w:rPr>
              <w:t>zar</w:t>
            </w:r>
          </w:p>
        </w:tc>
        <w:tc>
          <w:tcPr>
            <w:tcW w:type="dxa" w:w="3561"/>
            <w:vAlign w:val="top"/>
          </w:tcPr>
          <w:p>
            <w:pPr>
              <w:spacing w:after="0" w:line="228" w:lineRule="auto"/>
            </w:pPr>
            <w:r>
              <w:rPr>
                <w:rFonts w:ascii="Times New Roman" w:hAnsi="Times New Roman"/>
                <w:sz w:val="13"/>
              </w:rPr>
              <w:t>Unauthorised outsider/intruder; not simply ethnic foreigner.</w:t>
            </w:r>
          </w:p>
        </w:tc>
      </w:tr>
      <w:tr>
        <w:tc>
          <w:tcPr>
            <w:tcW w:type="dxa" w:w="3561"/>
            <w:vAlign w:val="top"/>
          </w:tcPr>
          <w:p>
            <w:pPr>
              <w:spacing w:after="0" w:line="228" w:lineRule="auto"/>
            </w:pPr>
            <w:r>
              <w:rPr>
                <w:rFonts w:ascii="Times New Roman" w:hAnsi="Times New Roman"/>
                <w:sz w:val="13"/>
              </w:rPr>
              <w:t>Num. 1:53</w:t>
            </w:r>
          </w:p>
        </w:tc>
        <w:tc>
          <w:tcPr>
            <w:tcW w:type="dxa" w:w="3561"/>
            <w:vAlign w:val="top"/>
          </w:tcPr>
          <w:p>
            <w:pPr>
              <w:spacing w:after="0" w:line="228" w:lineRule="auto"/>
            </w:pPr>
            <w:r>
              <w:rPr>
                <w:rFonts w:ascii="Times New Roman" w:hAnsi="Times New Roman"/>
                <w:sz w:val="13"/>
              </w:rPr>
              <w:t>keep the charge</w:t>
            </w:r>
          </w:p>
        </w:tc>
        <w:tc>
          <w:tcPr>
            <w:tcW w:type="dxa" w:w="3561"/>
            <w:vAlign w:val="top"/>
          </w:tcPr>
          <w:p>
            <w:pPr>
              <w:spacing w:after="0" w:line="228" w:lineRule="auto"/>
            </w:pPr>
            <w:r>
              <w:rPr>
                <w:rFonts w:ascii="Times New Roman" w:hAnsi="Times New Roman"/>
                <w:sz w:val="13"/>
              </w:rPr>
              <w:t>Guard/service responsibility around tabernacle.</w:t>
            </w:r>
          </w:p>
        </w:tc>
      </w:tr>
      <w:tr>
        <w:tc>
          <w:tcPr>
            <w:tcW w:type="dxa" w:w="3561"/>
            <w:vAlign w:val="top"/>
          </w:tcPr>
          <w:p>
            <w:pPr>
              <w:spacing w:after="0" w:line="228" w:lineRule="auto"/>
            </w:pPr>
            <w:r>
              <w:rPr>
                <w:rFonts w:ascii="Times New Roman" w:hAnsi="Times New Roman"/>
                <w:sz w:val="13"/>
              </w:rPr>
              <w:t>Acts 7:38</w:t>
            </w:r>
          </w:p>
        </w:tc>
        <w:tc>
          <w:tcPr>
            <w:tcW w:type="dxa" w:w="3561"/>
            <w:vAlign w:val="top"/>
          </w:tcPr>
          <w:p>
            <w:pPr>
              <w:spacing w:after="0" w:line="228" w:lineRule="auto"/>
            </w:pPr>
            <w:r>
              <w:rPr>
                <w:rFonts w:ascii="Times New Roman" w:hAnsi="Times New Roman"/>
                <w:sz w:val="13"/>
              </w:rPr>
              <w:t>ecclesia in wilderness</w:t>
            </w:r>
          </w:p>
        </w:tc>
        <w:tc>
          <w:tcPr>
            <w:tcW w:type="dxa" w:w="3561"/>
            <w:vAlign w:val="top"/>
          </w:tcPr>
          <w:p>
            <w:pPr>
              <w:spacing w:after="0" w:line="228" w:lineRule="auto"/>
            </w:pPr>
            <w:r>
              <w:rPr>
                <w:rFonts w:ascii="Times New Roman" w:hAnsi="Times New Roman"/>
                <w:sz w:val="13"/>
              </w:rPr>
              <w:t>NT description supports Mansfield’s ecclesial framework.</w:t>
            </w:r>
          </w:p>
        </w:tc>
      </w:tr>
    </w:tbl>
    <w:p>
      <w:pPr>
        <w:pStyle w:val="Heading1"/>
      </w:pPr>
      <w:r>
        <w:t>RESIDUAL UNCERTAINTIES</w:t>
      </w:r>
    </w:p>
    <w:p>
      <w:pPr/>
      <w:r>
        <w:rPr>
          <w:i w:val="0"/>
        </w:rPr>
        <w:t>The chapter does not give the total population of Israel, so modern estimates of two million or more are demographic inferences rather than an explicit biblical figure. The precise relationship between the Exodus 38 half-shekel total and the Numbers 1 enumeration is not narrated in detail.</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