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2</w:t>
      </w:r>
    </w:p>
    <w:p>
      <w:pPr>
        <w:pStyle w:val="Subtitle"/>
      </w:pPr>
      <w:r>
        <w:t>ORDER OF WORSHIPPERS • STANDARDS AROUND THE TABERNACLE • JUDAH EAST • REUBEN SOUTH • EPHRAIM WEST • DAN NORTH • YAHWEH AT THE CENTRE</w:t>
      </w:r>
    </w:p>
    <w:p>
      <w:pPr/>
      <w:r>
        <w:rPr>
          <w:i/>
        </w:rPr>
        <w:t>H. P. Mansfield Bible notes — checked and arranged in Expositor style</w:t>
      </w:r>
    </w:p>
    <w:p>
      <w:pPr/>
      <w:r>
        <w:rPr>
          <w:i w:val="0"/>
        </w:rPr>
        <w:t>Source: HPB 03-Lev12-Num36.PDF, Numbers 2 annotated pages; cross-checked with Mansfield’s Numbers Expositor.</w:t>
      </w:r>
    </w:p>
    <w:p>
      <w:pPr>
        <w:pStyle w:val="Heading1"/>
      </w:pPr>
      <w:r>
        <w:t>CHAPTER OVERVIEW</w:t>
      </w:r>
    </w:p>
    <w:p>
      <w:pPr/>
      <w:r>
        <w:rPr>
          <w:i w:val="0"/>
        </w:rPr>
        <w:t>Numbers 2 turns the census into spatial order. The tribes remain distinct, but every camp position and marching division is oriented around Yahweh’s dwelling.</w:t>
      </w:r>
    </w:p>
    <w:p>
      <w:pPr/>
      <w:r>
        <w:rPr>
          <w:i w:val="0"/>
        </w:rPr>
        <w:t>The central theological lesson is secure, but the actual marching sequence must be read with Numbers 10: the tabernacle’s structural and holy-furniture components do not all travel as one unit placed at the exact numerical centre of the marching column.</w:t>
      </w:r>
    </w:p>
    <w:p>
      <w:pPr>
        <w:pStyle w:val="Heading1"/>
      </w:pPr>
      <w:r>
        <w:t>EVERY TRIBE BY ITS STANDARD — NUMBERS 2:1–2</w:t>
      </w:r>
    </w:p>
    <w:p>
      <w:pPr>
        <w:pStyle w:val="Heading2"/>
      </w:pPr>
      <w:r>
        <w:t>Numbers 2:1–2 — ordered identity around the Tent of Meeting</w:t>
      </w:r>
    </w:p>
    <w:p>
      <w:pPr/>
      <w:r>
        <w:rPr>
          <w:i w:val="0"/>
        </w:rPr>
        <w:t>Each person camps by the degel, standard, of his camp and the ’oth, ensign/sign, of his fathers’ house, around the Tent of Meeting.</w:t>
      </w:r>
    </w:p>
    <w:p>
      <w:pPr/>
      <w:r>
        <w:rPr>
          <w:i w:val="0"/>
        </w:rPr>
        <w:t>KJV “far off” indicates separation from the sanctuary. Mansfield suggests about 2,000 cubits from comparison with Joshua 3:4, but Numbers 2 itself gives no distance; that figure must remain conjectural.</w:t>
      </w:r>
    </w:p>
    <w:p>
      <w:pPr>
        <w:pStyle w:val="Heading1"/>
      </w:pPr>
      <w:r>
        <w:t>THE EASTERN CAMP UNDER JUDAH — NUMBERS 2:3–9</w:t>
      </w:r>
    </w:p>
    <w:p>
      <w:pPr>
        <w:pStyle w:val="Heading2"/>
      </w:pPr>
      <w:r>
        <w:t>Numbers 2:3–9 — Judah, Issachar and Zebulun</w:t>
      </w:r>
    </w:p>
    <w:p>
      <w:pPr/>
      <w:r>
        <w:rPr>
          <w:i w:val="0"/>
        </w:rPr>
        <w:t>Judah’s division occupies the east/front side toward sunrise, together with Issachar and Zebulun. Its total is 186,400 and it sets forward first.</w:t>
      </w:r>
    </w:p>
    <w:p>
      <w:pPr/>
      <w:r>
        <w:rPr>
          <w:i w:val="0"/>
        </w:rPr>
        <w:t>Judah’s leadership accords with Jacob’s prophetic priority in Genesis 49:8–10 despite Reuben’s natural firstborn status. Mansfield’s sunrise/Messiah symbolism is a legitimate typological application, not the literal meaning of the compass direction.</w:t>
      </w:r>
    </w:p>
    <w:p>
      <w:pPr>
        <w:pStyle w:val="Heading1"/>
      </w:pPr>
      <w:r>
        <w:t>THE SOUTHERN CAMP UNDER REUBEN — NUMBERS 2:10–16</w:t>
      </w:r>
    </w:p>
    <w:p>
      <w:pPr>
        <w:pStyle w:val="Heading2"/>
      </w:pPr>
      <w:r>
        <w:t>Numbers 2:10–16 — Reuben, Simeon and Gad</w:t>
      </w:r>
    </w:p>
    <w:p>
      <w:pPr/>
      <w:r>
        <w:rPr>
          <w:i w:val="0"/>
        </w:rPr>
        <w:t>Reuben’s division camps to the south with Simeon and Gad. Its combined force is 151,450 and it sets forward second.</w:t>
      </w:r>
    </w:p>
    <w:p>
      <w:pPr/>
      <w:r>
        <w:rPr>
          <w:i w:val="0"/>
        </w:rPr>
        <w:t>The ordering shows that tribal birth order does not alone determine marching precedence.</w:t>
      </w:r>
    </w:p>
    <w:p>
      <w:pPr>
        <w:pStyle w:val="Heading1"/>
      </w:pPr>
      <w:r>
        <w:t>THE LEVITES AND TABERNACLE AMONG THE CAMPS — NUMBERS 2:17</w:t>
      </w:r>
    </w:p>
    <w:p>
      <w:pPr>
        <w:pStyle w:val="Heading2"/>
      </w:pPr>
      <w:r>
        <w:t>Numbers 2:17 — “in the midst” must be read with chapter 10</w:t>
      </w:r>
    </w:p>
    <w:p>
      <w:pPr/>
      <w:r>
        <w:rPr>
          <w:i w:val="0"/>
        </w:rPr>
        <w:t>The Tent of Meeting and camp of the Levites are described as setting forward “in the midst of the camp,” maintaining the sanctuary among Israel rather than outside the nation.</w:t>
      </w:r>
    </w:p>
    <w:p>
      <w:pPr/>
      <w:r>
        <w:rPr>
          <w:i w:val="0"/>
        </w:rPr>
        <w:t>However, Numbers 10:17–21 gives the detailed marching order: Gershonites and Merarites carrying the structure depart after Judah’s division, while Kohathites carrying holy furniture depart after Reuben’s division. Therefore verse 17 should not be pictured as the whole assembled tabernacle travelling as one single block exactly halfway through the column.</w:t>
      </w:r>
    </w:p>
    <w:p>
      <w:pPr>
        <w:pStyle w:val="Heading1"/>
      </w:pPr>
      <w:r>
        <w:t>THE WESTERN CAMP UNDER EPHRAIM — NUMBERS 2:18–24</w:t>
      </w:r>
    </w:p>
    <w:p>
      <w:pPr>
        <w:pStyle w:val="Heading2"/>
      </w:pPr>
      <w:r>
        <w:t>Numbers 2:18–24 — Ephraim, Manasseh and Benjamin</w:t>
      </w:r>
    </w:p>
    <w:p>
      <w:pPr/>
      <w:r>
        <w:rPr>
          <w:i w:val="0"/>
        </w:rPr>
        <w:t>Ephraim’s division camps on the west with Manasseh and Benjamin. Its combined force is 108,100 and it sets forward third.</w:t>
      </w:r>
    </w:p>
    <w:p>
      <w:pPr>
        <w:pStyle w:val="Heading1"/>
      </w:pPr>
      <w:r>
        <w:t>THE NORTHERN CAMP UNDER DAN — NUMBERS 2:25–31</w:t>
      </w:r>
    </w:p>
    <w:p>
      <w:pPr>
        <w:pStyle w:val="Heading2"/>
      </w:pPr>
      <w:r>
        <w:t>Numbers 2:25–31 — Dan, Asher and Naphtali</w:t>
      </w:r>
    </w:p>
    <w:p>
      <w:pPr/>
      <w:r>
        <w:rPr>
          <w:i w:val="0"/>
        </w:rPr>
        <w:t>Dan’s division occupies the north with Asher and Naphtali. Its combined force is 157,600 and serves as the final/rearward division.</w:t>
      </w:r>
    </w:p>
    <w:p>
      <w:pPr>
        <w:pStyle w:val="Heading1"/>
      </w:pPr>
      <w:r>
        <w:t>TOTAL AND OBEDIENCE — NUMBERS 2:32–34</w:t>
      </w:r>
    </w:p>
    <w:p>
      <w:pPr>
        <w:pStyle w:val="Heading2"/>
      </w:pPr>
      <w:r>
        <w:t>Numbers 2:32–33 — 603,550, Levites separate</w:t>
      </w:r>
    </w:p>
    <w:p>
      <w:pPr/>
      <w:r>
        <w:rPr>
          <w:i w:val="0"/>
        </w:rPr>
        <w:t>The military total remains 603,550; Levites are not included because Yahweh has appointed them to sanctuary service.</w:t>
      </w:r>
    </w:p>
    <w:p>
      <w:pPr>
        <w:pStyle w:val="Heading2"/>
      </w:pPr>
      <w:r>
        <w:t>Numbers 2:34 — pitch and march as commanded</w:t>
      </w:r>
    </w:p>
    <w:p>
      <w:pPr/>
      <w:r>
        <w:rPr>
          <w:i w:val="0"/>
        </w:rPr>
        <w:t>Israel pitches by families and fathers’ houses under the assigned standards and moves according to the commanded arrangement.</w:t>
      </w:r>
    </w:p>
    <w:p>
      <w:pPr/>
      <w:r>
        <w:rPr>
          <w:i w:val="0"/>
        </w:rPr>
        <w:t>The familiar later tradition assigning lion, man, ox and eagle figures to the four main standards is not stated in Numbers 2. Mansfield’s use of those symbols should therefore remain traditional/typological rather than presented as explicit text.</w:t>
      </w:r>
    </w:p>
    <w:p>
      <w:pPr>
        <w:pStyle w:val="Heading1"/>
      </w:pPr>
      <w:r>
        <w:t>PRINCIPAL THEMES</w:t>
      </w:r>
    </w:p>
    <w:p>
      <w:pPr>
        <w:ind w:left="259" w:hanging="202"/>
      </w:pPr>
      <w:r>
        <w:rPr>
          <w:b/>
        </w:rPr>
        <w:t xml:space="preserve">• </w:t>
      </w:r>
      <w:r>
        <w:t>Yahweh’s dwelling is the organising centre of Israel’s camp life.</w:t>
      </w:r>
    </w:p>
    <w:p>
      <w:pPr>
        <w:ind w:left="259" w:hanging="202"/>
      </w:pPr>
      <w:r>
        <w:rPr>
          <w:b/>
        </w:rPr>
        <w:t xml:space="preserve">• </w:t>
      </w:r>
      <w:r>
        <w:t>Unity is achieved through common orientation, not by erasing tribal identity.</w:t>
      </w:r>
    </w:p>
    <w:p>
      <w:pPr>
        <w:ind w:left="259" w:hanging="202"/>
      </w:pPr>
      <w:r>
        <w:rPr>
          <w:b/>
        </w:rPr>
        <w:t xml:space="preserve">• </w:t>
      </w:r>
      <w:r>
        <w:t>Judah leads the march despite Reuben’s natural firstborn status.</w:t>
      </w:r>
    </w:p>
    <w:p>
      <w:pPr>
        <w:ind w:left="259" w:hanging="202"/>
      </w:pPr>
      <w:r>
        <w:rPr>
          <w:b/>
        </w:rPr>
        <w:t xml:space="preserve">• </w:t>
      </w:r>
      <w:r>
        <w:t>Numbers 10 corrects an overly literal picture of all tabernacle components moving as one exact central block.</w:t>
      </w:r>
    </w:p>
    <w:p>
      <w:pPr>
        <w:ind w:left="259" w:hanging="202"/>
      </w:pPr>
      <w:r>
        <w:rPr>
          <w:b/>
        </w:rPr>
        <w:t xml:space="preserve">• </w:t>
      </w:r>
      <w:r>
        <w:t>The 2,000-cubit distance sometimes inferred for the camp is not specified in Numbers 2.</w:t>
      </w:r>
    </w:p>
    <w:p>
      <w:pPr>
        <w:ind w:left="259" w:hanging="202"/>
      </w:pPr>
      <w:r>
        <w:rPr>
          <w:b/>
        </w:rPr>
        <w:t xml:space="preserve">• </w:t>
      </w:r>
      <w:r>
        <w:t>The animal emblems assigned by later tradition to the four standards are not named in the chapter itself.</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 / item</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8" w:lineRule="auto"/>
            </w:pPr>
            <w:r>
              <w:rPr>
                <w:rFonts w:ascii="Times New Roman" w:hAnsi="Times New Roman"/>
                <w:sz w:val="13"/>
              </w:rPr>
              <w:t>Num. 2:2</w:t>
            </w:r>
          </w:p>
        </w:tc>
        <w:tc>
          <w:tcPr>
            <w:tcW w:type="dxa" w:w="3561"/>
            <w:vAlign w:val="top"/>
          </w:tcPr>
          <w:p>
            <w:pPr>
              <w:spacing w:after="0" w:line="228" w:lineRule="auto"/>
            </w:pPr>
            <w:r>
              <w:rPr>
                <w:rFonts w:ascii="Times New Roman" w:hAnsi="Times New Roman"/>
                <w:sz w:val="13"/>
              </w:rPr>
              <w:t>degel / ’oth</w:t>
            </w:r>
          </w:p>
        </w:tc>
        <w:tc>
          <w:tcPr>
            <w:tcW w:type="dxa" w:w="3561"/>
            <w:vAlign w:val="top"/>
          </w:tcPr>
          <w:p>
            <w:pPr>
              <w:spacing w:after="0" w:line="228" w:lineRule="auto"/>
            </w:pPr>
            <w:r>
              <w:rPr>
                <w:rFonts w:ascii="Times New Roman" w:hAnsi="Times New Roman"/>
                <w:sz w:val="13"/>
              </w:rPr>
              <w:t>Camp standard / fathers’ house sign or ensign.</w:t>
            </w:r>
          </w:p>
        </w:tc>
      </w:tr>
      <w:tr>
        <w:tc>
          <w:tcPr>
            <w:tcW w:type="dxa" w:w="3561"/>
            <w:vAlign w:val="top"/>
          </w:tcPr>
          <w:p>
            <w:pPr>
              <w:spacing w:after="0" w:line="228" w:lineRule="auto"/>
            </w:pPr>
            <w:r>
              <w:rPr>
                <w:rFonts w:ascii="Times New Roman" w:hAnsi="Times New Roman"/>
                <w:sz w:val="13"/>
              </w:rPr>
              <w:t>Num. 2:2</w:t>
            </w:r>
          </w:p>
        </w:tc>
        <w:tc>
          <w:tcPr>
            <w:tcW w:type="dxa" w:w="3561"/>
            <w:vAlign w:val="top"/>
          </w:tcPr>
          <w:p>
            <w:pPr>
              <w:spacing w:after="0" w:line="228" w:lineRule="auto"/>
            </w:pPr>
            <w:r>
              <w:rPr>
                <w:rFonts w:ascii="Times New Roman" w:hAnsi="Times New Roman"/>
                <w:sz w:val="13"/>
              </w:rPr>
              <w:t>“far off”</w:t>
            </w:r>
          </w:p>
        </w:tc>
        <w:tc>
          <w:tcPr>
            <w:tcW w:type="dxa" w:w="3561"/>
            <w:vAlign w:val="top"/>
          </w:tcPr>
          <w:p>
            <w:pPr>
              <w:spacing w:after="0" w:line="228" w:lineRule="auto"/>
            </w:pPr>
            <w:r>
              <w:rPr>
                <w:rFonts w:ascii="Times New Roman" w:hAnsi="Times New Roman"/>
                <w:sz w:val="13"/>
              </w:rPr>
              <w:t>Separation from Tent; exact distance not stated.</w:t>
            </w:r>
          </w:p>
        </w:tc>
      </w:tr>
      <w:tr>
        <w:tc>
          <w:tcPr>
            <w:tcW w:type="dxa" w:w="3561"/>
            <w:vAlign w:val="top"/>
          </w:tcPr>
          <w:p>
            <w:pPr>
              <w:spacing w:after="0" w:line="228" w:lineRule="auto"/>
            </w:pPr>
            <w:r>
              <w:rPr>
                <w:rFonts w:ascii="Times New Roman" w:hAnsi="Times New Roman"/>
                <w:sz w:val="13"/>
              </w:rPr>
              <w:t>Josh. 3:4</w:t>
            </w:r>
          </w:p>
        </w:tc>
        <w:tc>
          <w:tcPr>
            <w:tcW w:type="dxa" w:w="3561"/>
            <w:vAlign w:val="top"/>
          </w:tcPr>
          <w:p>
            <w:pPr>
              <w:spacing w:after="0" w:line="228" w:lineRule="auto"/>
            </w:pPr>
            <w:r>
              <w:rPr>
                <w:rFonts w:ascii="Times New Roman" w:hAnsi="Times New Roman"/>
                <w:sz w:val="13"/>
              </w:rPr>
              <w:t>2,000 cubits</w:t>
            </w:r>
          </w:p>
        </w:tc>
        <w:tc>
          <w:tcPr>
            <w:tcW w:type="dxa" w:w="3561"/>
            <w:vAlign w:val="top"/>
          </w:tcPr>
          <w:p>
            <w:pPr>
              <w:spacing w:after="0" w:line="228" w:lineRule="auto"/>
            </w:pPr>
            <w:r>
              <w:rPr>
                <w:rFonts w:ascii="Times New Roman" w:hAnsi="Times New Roman"/>
                <w:sz w:val="13"/>
              </w:rPr>
              <w:t>Different context; Mansfield comparison is conjectural for Num. 2.</w:t>
            </w:r>
          </w:p>
        </w:tc>
      </w:tr>
      <w:tr>
        <w:tc>
          <w:tcPr>
            <w:tcW w:type="dxa" w:w="3561"/>
            <w:vAlign w:val="top"/>
          </w:tcPr>
          <w:p>
            <w:pPr>
              <w:spacing w:after="0" w:line="228" w:lineRule="auto"/>
            </w:pPr>
            <w:r>
              <w:rPr>
                <w:rFonts w:ascii="Times New Roman" w:hAnsi="Times New Roman"/>
                <w:sz w:val="13"/>
              </w:rPr>
              <w:t>Num. 2:3–9</w:t>
            </w:r>
          </w:p>
        </w:tc>
        <w:tc>
          <w:tcPr>
            <w:tcW w:type="dxa" w:w="3561"/>
            <w:vAlign w:val="top"/>
          </w:tcPr>
          <w:p>
            <w:pPr>
              <w:spacing w:after="0" w:line="228" w:lineRule="auto"/>
            </w:pPr>
            <w:r>
              <w:rPr>
                <w:rFonts w:ascii="Times New Roman" w:hAnsi="Times New Roman"/>
                <w:sz w:val="13"/>
              </w:rPr>
              <w:t>Judah east; 186,400</w:t>
            </w:r>
          </w:p>
        </w:tc>
        <w:tc>
          <w:tcPr>
            <w:tcW w:type="dxa" w:w="3561"/>
            <w:vAlign w:val="top"/>
          </w:tcPr>
          <w:p>
            <w:pPr>
              <w:spacing w:after="0" w:line="228" w:lineRule="auto"/>
            </w:pPr>
            <w:r>
              <w:rPr>
                <w:rFonts w:ascii="Times New Roman" w:hAnsi="Times New Roman"/>
                <w:sz w:val="13"/>
              </w:rPr>
              <w:t>First marching division.</w:t>
            </w:r>
          </w:p>
        </w:tc>
      </w:tr>
      <w:tr>
        <w:tc>
          <w:tcPr>
            <w:tcW w:type="dxa" w:w="3561"/>
            <w:vAlign w:val="top"/>
          </w:tcPr>
          <w:p>
            <w:pPr>
              <w:spacing w:after="0" w:line="228" w:lineRule="auto"/>
            </w:pPr>
            <w:r>
              <w:rPr>
                <w:rFonts w:ascii="Times New Roman" w:hAnsi="Times New Roman"/>
                <w:sz w:val="13"/>
              </w:rPr>
              <w:t>Num. 2:10–16</w:t>
            </w:r>
          </w:p>
        </w:tc>
        <w:tc>
          <w:tcPr>
            <w:tcW w:type="dxa" w:w="3561"/>
            <w:vAlign w:val="top"/>
          </w:tcPr>
          <w:p>
            <w:pPr>
              <w:spacing w:after="0" w:line="228" w:lineRule="auto"/>
            </w:pPr>
            <w:r>
              <w:rPr>
                <w:rFonts w:ascii="Times New Roman" w:hAnsi="Times New Roman"/>
                <w:sz w:val="13"/>
              </w:rPr>
              <w:t>Reuben south; 151,450</w:t>
            </w:r>
          </w:p>
        </w:tc>
        <w:tc>
          <w:tcPr>
            <w:tcW w:type="dxa" w:w="3561"/>
            <w:vAlign w:val="top"/>
          </w:tcPr>
          <w:p>
            <w:pPr>
              <w:spacing w:after="0" w:line="228" w:lineRule="auto"/>
            </w:pPr>
            <w:r>
              <w:rPr>
                <w:rFonts w:ascii="Times New Roman" w:hAnsi="Times New Roman"/>
                <w:sz w:val="13"/>
              </w:rPr>
              <w:t>Second division.</w:t>
            </w:r>
          </w:p>
        </w:tc>
      </w:tr>
      <w:tr>
        <w:tc>
          <w:tcPr>
            <w:tcW w:type="dxa" w:w="3561"/>
            <w:vAlign w:val="top"/>
          </w:tcPr>
          <w:p>
            <w:pPr>
              <w:spacing w:after="0" w:line="228" w:lineRule="auto"/>
            </w:pPr>
            <w:r>
              <w:rPr>
                <w:rFonts w:ascii="Times New Roman" w:hAnsi="Times New Roman"/>
                <w:sz w:val="13"/>
              </w:rPr>
              <w:t>Num. 2:17</w:t>
            </w:r>
          </w:p>
        </w:tc>
        <w:tc>
          <w:tcPr>
            <w:tcW w:type="dxa" w:w="3561"/>
            <w:vAlign w:val="top"/>
          </w:tcPr>
          <w:p>
            <w:pPr>
              <w:spacing w:after="0" w:line="228" w:lineRule="auto"/>
            </w:pPr>
            <w:r>
              <w:rPr>
                <w:rFonts w:ascii="Times New Roman" w:hAnsi="Times New Roman"/>
                <w:sz w:val="13"/>
              </w:rPr>
              <w:t>“in the midst”</w:t>
            </w:r>
          </w:p>
        </w:tc>
        <w:tc>
          <w:tcPr>
            <w:tcW w:type="dxa" w:w="3561"/>
            <w:vAlign w:val="top"/>
          </w:tcPr>
          <w:p>
            <w:pPr>
              <w:spacing w:after="0" w:line="228" w:lineRule="auto"/>
            </w:pPr>
            <w:r>
              <w:rPr>
                <w:rFonts w:ascii="Times New Roman" w:hAnsi="Times New Roman"/>
                <w:sz w:val="13"/>
              </w:rPr>
              <w:t>Among/within camp order; detailed marching sequence supplied by Num. 10.</w:t>
            </w:r>
          </w:p>
        </w:tc>
      </w:tr>
      <w:tr>
        <w:tc>
          <w:tcPr>
            <w:tcW w:type="dxa" w:w="3561"/>
            <w:vAlign w:val="top"/>
          </w:tcPr>
          <w:p>
            <w:pPr>
              <w:spacing w:after="0" w:line="228" w:lineRule="auto"/>
            </w:pPr>
            <w:r>
              <w:rPr>
                <w:rFonts w:ascii="Times New Roman" w:hAnsi="Times New Roman"/>
                <w:sz w:val="13"/>
              </w:rPr>
              <w:t>Num. 10:17</w:t>
            </w:r>
          </w:p>
        </w:tc>
        <w:tc>
          <w:tcPr>
            <w:tcW w:type="dxa" w:w="3561"/>
            <w:vAlign w:val="top"/>
          </w:tcPr>
          <w:p>
            <w:pPr>
              <w:spacing w:after="0" w:line="228" w:lineRule="auto"/>
            </w:pPr>
            <w:r>
              <w:rPr>
                <w:rFonts w:ascii="Times New Roman" w:hAnsi="Times New Roman"/>
                <w:sz w:val="13"/>
              </w:rPr>
              <w:t>Gershon/Merari depart after Judah</w:t>
            </w:r>
          </w:p>
        </w:tc>
        <w:tc>
          <w:tcPr>
            <w:tcW w:type="dxa" w:w="3561"/>
            <w:vAlign w:val="top"/>
          </w:tcPr>
          <w:p>
            <w:pPr>
              <w:spacing w:after="0" w:line="228" w:lineRule="auto"/>
            </w:pPr>
            <w:r>
              <w:rPr>
                <w:rFonts w:ascii="Times New Roman" w:hAnsi="Times New Roman"/>
                <w:sz w:val="13"/>
              </w:rPr>
              <w:t>Tabernacle structure moves earlier.</w:t>
            </w:r>
          </w:p>
        </w:tc>
      </w:tr>
      <w:tr>
        <w:tc>
          <w:tcPr>
            <w:tcW w:type="dxa" w:w="3561"/>
            <w:vAlign w:val="top"/>
          </w:tcPr>
          <w:p>
            <w:pPr>
              <w:spacing w:after="0" w:line="228" w:lineRule="auto"/>
            </w:pPr>
            <w:r>
              <w:rPr>
                <w:rFonts w:ascii="Times New Roman" w:hAnsi="Times New Roman"/>
                <w:sz w:val="13"/>
              </w:rPr>
              <w:t>Num. 10:21</w:t>
            </w:r>
          </w:p>
        </w:tc>
        <w:tc>
          <w:tcPr>
            <w:tcW w:type="dxa" w:w="3561"/>
            <w:vAlign w:val="top"/>
          </w:tcPr>
          <w:p>
            <w:pPr>
              <w:spacing w:after="0" w:line="228" w:lineRule="auto"/>
            </w:pPr>
            <w:r>
              <w:rPr>
                <w:rFonts w:ascii="Times New Roman" w:hAnsi="Times New Roman"/>
                <w:sz w:val="13"/>
              </w:rPr>
              <w:t>Kohathites depart after Reuben</w:t>
            </w:r>
          </w:p>
        </w:tc>
        <w:tc>
          <w:tcPr>
            <w:tcW w:type="dxa" w:w="3561"/>
            <w:vAlign w:val="top"/>
          </w:tcPr>
          <w:p>
            <w:pPr>
              <w:spacing w:after="0" w:line="228" w:lineRule="auto"/>
            </w:pPr>
            <w:r>
              <w:rPr>
                <w:rFonts w:ascii="Times New Roman" w:hAnsi="Times New Roman"/>
                <w:sz w:val="13"/>
              </w:rPr>
              <w:t>Holy furniture follows later.</w:t>
            </w:r>
          </w:p>
        </w:tc>
      </w:tr>
      <w:tr>
        <w:tc>
          <w:tcPr>
            <w:tcW w:type="dxa" w:w="3561"/>
            <w:vAlign w:val="top"/>
          </w:tcPr>
          <w:p>
            <w:pPr>
              <w:spacing w:after="0" w:line="228" w:lineRule="auto"/>
            </w:pPr>
            <w:r>
              <w:rPr>
                <w:rFonts w:ascii="Times New Roman" w:hAnsi="Times New Roman"/>
                <w:sz w:val="13"/>
              </w:rPr>
              <w:t>Num. 2:18–24</w:t>
            </w:r>
          </w:p>
        </w:tc>
        <w:tc>
          <w:tcPr>
            <w:tcW w:type="dxa" w:w="3561"/>
            <w:vAlign w:val="top"/>
          </w:tcPr>
          <w:p>
            <w:pPr>
              <w:spacing w:after="0" w:line="228" w:lineRule="auto"/>
            </w:pPr>
            <w:r>
              <w:rPr>
                <w:rFonts w:ascii="Times New Roman" w:hAnsi="Times New Roman"/>
                <w:sz w:val="13"/>
              </w:rPr>
              <w:t>Ephraim west; 108,100</w:t>
            </w:r>
          </w:p>
        </w:tc>
        <w:tc>
          <w:tcPr>
            <w:tcW w:type="dxa" w:w="3561"/>
            <w:vAlign w:val="top"/>
          </w:tcPr>
          <w:p>
            <w:pPr>
              <w:spacing w:after="0" w:line="228" w:lineRule="auto"/>
            </w:pPr>
            <w:r>
              <w:rPr>
                <w:rFonts w:ascii="Times New Roman" w:hAnsi="Times New Roman"/>
                <w:sz w:val="13"/>
              </w:rPr>
              <w:t>Third division.</w:t>
            </w:r>
          </w:p>
        </w:tc>
      </w:tr>
      <w:tr>
        <w:tc>
          <w:tcPr>
            <w:tcW w:type="dxa" w:w="3561"/>
            <w:vAlign w:val="top"/>
          </w:tcPr>
          <w:p>
            <w:pPr>
              <w:spacing w:after="0" w:line="228" w:lineRule="auto"/>
            </w:pPr>
            <w:r>
              <w:rPr>
                <w:rFonts w:ascii="Times New Roman" w:hAnsi="Times New Roman"/>
                <w:sz w:val="13"/>
              </w:rPr>
              <w:t>Num. 2:25–31</w:t>
            </w:r>
          </w:p>
        </w:tc>
        <w:tc>
          <w:tcPr>
            <w:tcW w:type="dxa" w:w="3561"/>
            <w:vAlign w:val="top"/>
          </w:tcPr>
          <w:p>
            <w:pPr>
              <w:spacing w:after="0" w:line="228" w:lineRule="auto"/>
            </w:pPr>
            <w:r>
              <w:rPr>
                <w:rFonts w:ascii="Times New Roman" w:hAnsi="Times New Roman"/>
                <w:sz w:val="13"/>
              </w:rPr>
              <w:t>Dan north; 157,600</w:t>
            </w:r>
          </w:p>
        </w:tc>
        <w:tc>
          <w:tcPr>
            <w:tcW w:type="dxa" w:w="3561"/>
            <w:vAlign w:val="top"/>
          </w:tcPr>
          <w:p>
            <w:pPr>
              <w:spacing w:after="0" w:line="228" w:lineRule="auto"/>
            </w:pPr>
            <w:r>
              <w:rPr>
                <w:rFonts w:ascii="Times New Roman" w:hAnsi="Times New Roman"/>
                <w:sz w:val="13"/>
              </w:rPr>
              <w:t>Rear/fourth division.</w:t>
            </w:r>
          </w:p>
        </w:tc>
      </w:tr>
      <w:tr>
        <w:tc>
          <w:tcPr>
            <w:tcW w:type="dxa" w:w="3561"/>
            <w:vAlign w:val="top"/>
          </w:tcPr>
          <w:p>
            <w:pPr>
              <w:spacing w:after="0" w:line="228" w:lineRule="auto"/>
            </w:pPr>
            <w:r>
              <w:rPr>
                <w:rFonts w:ascii="Times New Roman" w:hAnsi="Times New Roman"/>
                <w:sz w:val="13"/>
              </w:rPr>
              <w:t>Num. 2:32</w:t>
            </w:r>
          </w:p>
        </w:tc>
        <w:tc>
          <w:tcPr>
            <w:tcW w:type="dxa" w:w="3561"/>
            <w:vAlign w:val="top"/>
          </w:tcPr>
          <w:p>
            <w:pPr>
              <w:spacing w:after="0" w:line="228" w:lineRule="auto"/>
            </w:pPr>
            <w:r>
              <w:rPr>
                <w:rFonts w:ascii="Times New Roman" w:hAnsi="Times New Roman"/>
                <w:sz w:val="13"/>
              </w:rPr>
              <w:t>603,550</w:t>
            </w:r>
          </w:p>
        </w:tc>
        <w:tc>
          <w:tcPr>
            <w:tcW w:type="dxa" w:w="3561"/>
            <w:vAlign w:val="top"/>
          </w:tcPr>
          <w:p>
            <w:pPr>
              <w:spacing w:after="0" w:line="228" w:lineRule="auto"/>
            </w:pPr>
            <w:r>
              <w:rPr>
                <w:rFonts w:ascii="Times New Roman" w:hAnsi="Times New Roman"/>
                <w:sz w:val="13"/>
              </w:rPr>
              <w:t>Same military total as chapter 1.</w:t>
            </w:r>
          </w:p>
        </w:tc>
      </w:tr>
      <w:tr>
        <w:tc>
          <w:tcPr>
            <w:tcW w:type="dxa" w:w="3561"/>
            <w:vAlign w:val="top"/>
          </w:tcPr>
          <w:p>
            <w:pPr>
              <w:spacing w:after="0" w:line="228" w:lineRule="auto"/>
            </w:pPr>
            <w:r>
              <w:rPr>
                <w:rFonts w:ascii="Times New Roman" w:hAnsi="Times New Roman"/>
                <w:sz w:val="13"/>
              </w:rPr>
              <w:t>Num. 2:34</w:t>
            </w:r>
          </w:p>
        </w:tc>
        <w:tc>
          <w:tcPr>
            <w:tcW w:type="dxa" w:w="3561"/>
            <w:vAlign w:val="top"/>
          </w:tcPr>
          <w:p>
            <w:pPr>
              <w:spacing w:after="0" w:line="228" w:lineRule="auto"/>
            </w:pPr>
            <w:r>
              <w:rPr>
                <w:rFonts w:ascii="Times New Roman" w:hAnsi="Times New Roman"/>
                <w:sz w:val="13"/>
              </w:rPr>
              <w:t>obedience to order</w:t>
            </w:r>
          </w:p>
        </w:tc>
        <w:tc>
          <w:tcPr>
            <w:tcW w:type="dxa" w:w="3561"/>
            <w:vAlign w:val="top"/>
          </w:tcPr>
          <w:p>
            <w:pPr>
              <w:spacing w:after="0" w:line="228" w:lineRule="auto"/>
            </w:pPr>
            <w:r>
              <w:rPr>
                <w:rFonts w:ascii="Times New Roman" w:hAnsi="Times New Roman"/>
                <w:sz w:val="13"/>
              </w:rPr>
              <w:t>Pitching and movement follow command.</w:t>
            </w:r>
          </w:p>
        </w:tc>
      </w:tr>
      <w:tr>
        <w:tc>
          <w:tcPr>
            <w:tcW w:type="dxa" w:w="3561"/>
            <w:vAlign w:val="top"/>
          </w:tcPr>
          <w:p>
            <w:pPr>
              <w:spacing w:after="0" w:line="228" w:lineRule="auto"/>
            </w:pPr>
            <w:r>
              <w:rPr>
                <w:rFonts w:ascii="Times New Roman" w:hAnsi="Times New Roman"/>
                <w:sz w:val="13"/>
              </w:rPr>
              <w:t>Four animal standards</w:t>
            </w:r>
          </w:p>
        </w:tc>
        <w:tc>
          <w:tcPr>
            <w:tcW w:type="dxa" w:w="3561"/>
            <w:vAlign w:val="top"/>
          </w:tcPr>
          <w:p>
            <w:pPr>
              <w:spacing w:after="0" w:line="228" w:lineRule="auto"/>
            </w:pPr>
            <w:r>
              <w:rPr>
                <w:rFonts w:ascii="Times New Roman" w:hAnsi="Times New Roman"/>
                <w:sz w:val="13"/>
              </w:rPr>
              <w:t>later tradition / Mansfield typology</w:t>
            </w:r>
          </w:p>
        </w:tc>
        <w:tc>
          <w:tcPr>
            <w:tcW w:type="dxa" w:w="3561"/>
            <w:vAlign w:val="top"/>
          </w:tcPr>
          <w:p>
            <w:pPr>
              <w:spacing w:after="0" w:line="228" w:lineRule="auto"/>
            </w:pPr>
            <w:r>
              <w:rPr>
                <w:rFonts w:ascii="Times New Roman" w:hAnsi="Times New Roman"/>
                <w:sz w:val="13"/>
              </w:rPr>
              <w:t>Lion-man-ox-eagle emblems are not specified in Numbers 2.</w:t>
            </w:r>
          </w:p>
        </w:tc>
      </w:tr>
    </w:tbl>
    <w:p>
      <w:pPr>
        <w:pStyle w:val="Heading1"/>
      </w:pPr>
      <w:r>
        <w:t>RESIDUAL UNCERTAINTIES</w:t>
      </w:r>
    </w:p>
    <w:p>
      <w:pPr/>
      <w:r>
        <w:rPr>
          <w:i w:val="0"/>
        </w:rPr>
        <w:t>The exact appearance of the tribal standards and ensigns is not described, and the distance between the non-Levite camps and the tabernacle is not measured here. Mansfield’s directional and standard-symbol typology is retained only as secondary application.</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