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4</w:t>
      </w:r>
    </w:p>
    <w:p>
      <w:pPr>
        <w:pStyle w:val="Subtitle"/>
      </w:pPr>
      <w:r>
        <w:t>THE WORKING LEVITES • THIRTY TO FIFTY • PRIESTS COVER, KOHATHITES CARRY • GERSHONITE AND MERARITE BURDENS • APPOINTED BY NAME • 8,580 SERVANTS</w:t>
      </w:r>
    </w:p>
    <w:p>
      <w:pPr/>
      <w:r>
        <w:rPr>
          <w:i/>
        </w:rPr>
        <w:t>H. P. Mansfield Bible notes — checked and arranged in Expositor style</w:t>
      </w:r>
    </w:p>
    <w:p>
      <w:pPr/>
      <w:r>
        <w:rPr>
          <w:i w:val="0"/>
        </w:rPr>
        <w:t>Source: HPB 03-Lev12-Num36.PDF, Numbers 4 annotated pages; cross-checked with Mansfield’s Numbers Expositor.</w:t>
      </w:r>
    </w:p>
    <w:p>
      <w:pPr>
        <w:pStyle w:val="Heading1"/>
      </w:pPr>
      <w:r>
        <w:t>CHAPTER OVERVIEW</w:t>
      </w:r>
    </w:p>
    <w:p>
      <w:pPr/>
      <w:r>
        <w:rPr>
          <w:i w:val="0"/>
        </w:rPr>
        <w:t>Numbers 4 counts Levites for active transport/service from thirty to fifty and assigns the movement of the tabernacle in exact stages. Priests first prepare and cover the sacred furniture; Kohathites then carry without touching or watching the exposed holy things.</w:t>
      </w:r>
    </w:p>
    <w:p>
      <w:pPr/>
      <w:r>
        <w:rPr>
          <w:i w:val="0"/>
        </w:rPr>
        <w:t>Every family has a different burden. Sacred service is cooperative but not interchangeable, and the chapter closes with 8,580 men appointed to service and burden according to Yahweh’s command.</w:t>
      </w:r>
    </w:p>
    <w:p>
      <w:pPr>
        <w:pStyle w:val="Heading1"/>
      </w:pPr>
      <w:r>
        <w:t>KOHATHITES AND THE MOST HOLY THINGS — NUMBERS 4:1–20</w:t>
      </w:r>
    </w:p>
    <w:p>
      <w:pPr>
        <w:pStyle w:val="Heading2"/>
      </w:pPr>
      <w:r>
        <w:t>Numbers 4:1–4 — thirty to fifty for the transport host</w:t>
      </w:r>
    </w:p>
    <w:p>
      <w:pPr/>
      <w:r>
        <w:rPr>
          <w:i w:val="0"/>
        </w:rPr>
        <w:t>Kohathites are numbered from thirty years old to fifty, all entering the tsava/service-host to work at the Tent of Meeting.</w:t>
      </w:r>
    </w:p>
    <w:p>
      <w:pPr/>
      <w:r>
        <w:rPr>
          <w:i w:val="0"/>
        </w:rPr>
        <w:t>Numbers 8:24 later gives twenty-five as the age for entering Levitical service. Mansfield and Jewish tradition suggest ages twenty-five to twenty-nine may have involved preparation/apprenticeship, with heavier public transport from thirty, but Scripture does not explicitly explain the difference. The Septuagint also has a twenty-five reading in Numbers 4:3, showing an ancient textual issue.</w:t>
      </w:r>
    </w:p>
    <w:p>
      <w:pPr>
        <w:pStyle w:val="Heading2"/>
      </w:pPr>
      <w:r>
        <w:t>Numbers 4:5–6 — the ark is covered before Kohath approaches</w:t>
      </w:r>
    </w:p>
    <w:p>
      <w:pPr/>
      <w:r>
        <w:rPr>
          <w:i w:val="0"/>
        </w:rPr>
        <w:t>When the camp moves, Aaron and his sons take down the veil and cover the ark, add a tachash-skin covering, then an outer cloth wholly of blue and insert/arrange the carrying staves.</w:t>
      </w:r>
    </w:p>
    <w:p>
      <w:pPr/>
      <w:r>
        <w:rPr>
          <w:i w:val="0"/>
        </w:rPr>
        <w:t>Tachash remains an unidentified hide/material; “badgers’ skins” is traditional KJV wording, not a secure zoological identification.</w:t>
      </w:r>
    </w:p>
    <w:p>
      <w:pPr>
        <w:pStyle w:val="Heading2"/>
      </w:pPr>
      <w:r>
        <w:t>Numbers 4:7–14 — table, lampstand and altars prepared by priests</w:t>
      </w:r>
    </w:p>
    <w:p>
      <w:pPr/>
      <w:r>
        <w:rPr>
          <w:i w:val="0"/>
        </w:rPr>
        <w:t>The table receives blue cloth, its vessels, scarlet cloth and an outer tachash covering. The menorah/lampstand and its utensils are wrapped in blue and tachash material; the golden altar is similarly covered. The bronze altar is covered with purple cloth and tachash after ashes and utensils are handled.</w:t>
      </w:r>
    </w:p>
    <w:p>
      <w:pPr/>
      <w:r>
        <w:rPr>
          <w:i w:val="0"/>
        </w:rPr>
        <w:t>The details show that Levite zeal cannot bypass priestly preparation.</w:t>
      </w:r>
    </w:p>
    <w:p>
      <w:pPr>
        <w:pStyle w:val="Heading2"/>
      </w:pPr>
      <w:r>
        <w:t>Numbers 4:15 — carry, but do not touch</w:t>
      </w:r>
    </w:p>
    <w:p>
      <w:pPr/>
      <w:r>
        <w:rPr>
          <w:i w:val="0"/>
        </w:rPr>
        <w:t>Only after Aaron and his sons finish covering may Kohathites come to bear the furniture. They must not touch the holy things lest they die.</w:t>
      </w:r>
    </w:p>
    <w:p>
      <w:pPr/>
      <w:r>
        <w:rPr>
          <w:i w:val="0"/>
        </w:rPr>
        <w:t>The poles/staves enable carriage without direct handling of the sacred objects.</w:t>
      </w:r>
    </w:p>
    <w:p>
      <w:pPr>
        <w:pStyle w:val="Heading2"/>
      </w:pPr>
      <w:r>
        <w:t>Numbers 4:16 — Eleazar’s oversight</w:t>
      </w:r>
    </w:p>
    <w:p>
      <w:pPr/>
      <w:r>
        <w:rPr>
          <w:i w:val="0"/>
        </w:rPr>
        <w:t>Eleazar oversees lamp oil, fragrant incense, the continual grain/meal offering, anointing oil and the sanctuary with its vessels. KJV “meat offering” is grain/meal, not animal flesh.</w:t>
      </w:r>
    </w:p>
    <w:p>
      <w:pPr>
        <w:pStyle w:val="Heading2"/>
      </w:pPr>
      <w:r>
        <w:t>Numbers 4:17–20 — do not cut off Kohath; do not see the exposed holy things</w:t>
      </w:r>
    </w:p>
    <w:p>
      <w:pPr/>
      <w:r>
        <w:rPr>
          <w:i w:val="0"/>
        </w:rPr>
        <w:t>Moses and Aaron must preserve the Kohathite families by ensuring the priests assign each person’s service and burden. Kohathites are not to enter and watch the holy things while they are being uncovered/covered, lest they die.</w:t>
      </w:r>
    </w:p>
    <w:p>
      <w:pPr/>
      <w:r>
        <w:rPr>
          <w:i w:val="0"/>
        </w:rPr>
        <w:t>The restriction is about appointed sanctuary boundaries, not secrecy for its own sake.</w:t>
      </w:r>
    </w:p>
    <w:p>
      <w:pPr>
        <w:pStyle w:val="Heading1"/>
      </w:pPr>
      <w:r>
        <w:t>GERSHONITE SERVICE — NUMBERS 4:21–28</w:t>
      </w:r>
    </w:p>
    <w:p>
      <w:pPr>
        <w:pStyle w:val="Heading2"/>
      </w:pPr>
      <w:r>
        <w:t>Numbers 4:21–23 — same active-service age</w:t>
      </w:r>
    </w:p>
    <w:p>
      <w:pPr/>
      <w:r>
        <w:rPr>
          <w:i w:val="0"/>
        </w:rPr>
        <w:t>Gershonites are also numbered from thirty to fifty for the service-host. The language of “service” carries military/organised-work force, fitting Mansfield’s idea of spiritual warfare.</w:t>
      </w:r>
    </w:p>
    <w:p>
      <w:pPr>
        <w:pStyle w:val="Heading2"/>
      </w:pPr>
      <w:r>
        <w:t>Numbers 4:24–28 — curtains and hangings under Ithamar</w:t>
      </w:r>
    </w:p>
    <w:p>
      <w:pPr/>
      <w:r>
        <w:rPr>
          <w:i w:val="0"/>
        </w:rPr>
        <w:t>Gershonites carry the tabernacle and tent coverings, entrance screen, court hangings, cords and associated equipment. Their work is supervised by Ithamar.</w:t>
      </w:r>
    </w:p>
    <w:p>
      <w:pPr/>
      <w:r>
        <w:rPr>
          <w:i w:val="0"/>
        </w:rPr>
        <w:t>Verse 27 requires their service to be appointed, and verse 28 places the charge under Ithamar rather than leaving workers to self-select tasks.</w:t>
      </w:r>
    </w:p>
    <w:p>
      <w:pPr>
        <w:pStyle w:val="Heading1"/>
      </w:pPr>
      <w:r>
        <w:t>MERARITE SERVICE — NUMBERS 4:29–33</w:t>
      </w:r>
    </w:p>
    <w:p>
      <w:pPr>
        <w:pStyle w:val="Heading2"/>
      </w:pPr>
      <w:r>
        <w:t>Numbers 4:29–33 — the structural burden “by name”</w:t>
      </w:r>
    </w:p>
    <w:p>
      <w:pPr/>
      <w:r>
        <w:rPr>
          <w:i w:val="0"/>
        </w:rPr>
        <w:t>Merarites from thirty to fifty carry frames/boards, bars, pillars, sockets, pegs and cords. Their burden is assigned “by name” under Ithamar.</w:t>
      </w:r>
    </w:p>
    <w:p>
      <w:pPr/>
      <w:r>
        <w:rPr>
          <w:i w:val="0"/>
        </w:rPr>
        <w:t>The heavy structural work is no less holy than handling visibly ornate furniture. Different burden does not mean different value.</w:t>
      </w:r>
    </w:p>
    <w:p>
      <w:pPr>
        <w:pStyle w:val="Heading1"/>
      </w:pPr>
      <w:r>
        <w:t>THE WORKING CENSUS — NUMBERS 4:34–49</w:t>
      </w:r>
    </w:p>
    <w:p>
      <w:pPr>
        <w:pStyle w:val="Heading2"/>
      </w:pPr>
      <w:r>
        <w:t>Numbers 4:34–44 — family totals</w:t>
      </w:r>
    </w:p>
    <w:p>
      <w:pPr/>
      <w:r>
        <w:rPr>
          <w:i w:val="0"/>
        </w:rPr>
        <w:t>Kohathite active servants number 2,750; Gershonites 2,630; Merarites 3,200.</w:t>
      </w:r>
    </w:p>
    <w:p>
      <w:pPr>
        <w:pStyle w:val="Heading2"/>
      </w:pPr>
      <w:r>
        <w:t>Numbers 4:46–48 — total 8,580</w:t>
      </w:r>
    </w:p>
    <w:p>
      <w:pPr/>
      <w:r>
        <w:rPr>
          <w:i w:val="0"/>
        </w:rPr>
        <w:t>The total from thirty to fifty who enter the work and burden of the Tent is 8,580.</w:t>
      </w:r>
    </w:p>
    <w:p>
      <w:pPr>
        <w:pStyle w:val="Heading2"/>
      </w:pPr>
      <w:r>
        <w:t>Numbers 4:49 — every man to his service and burden</w:t>
      </w:r>
    </w:p>
    <w:p>
      <w:pPr/>
      <w:r>
        <w:rPr>
          <w:i w:val="0"/>
        </w:rPr>
        <w:t>The final emphasis is individual appointment: each is numbered for service and burden according to Yahweh’s command by Moses.</w:t>
      </w:r>
    </w:p>
    <w:p>
      <w:pPr/>
      <w:r>
        <w:rPr>
          <w:i w:val="0"/>
        </w:rPr>
        <w:t>Mansfield’s ecclesial lesson is well grounded: no worker is insignificant, but neither may a worker exchange appointed responsibility merely because another task appears more prestigious.</w:t>
      </w:r>
    </w:p>
    <w:p>
      <w:pPr>
        <w:pStyle w:val="Heading1"/>
      </w:pPr>
      <w:r>
        <w:t>PRINCIPAL THEMES</w:t>
      </w:r>
    </w:p>
    <w:p>
      <w:pPr>
        <w:ind w:left="259" w:hanging="202"/>
      </w:pPr>
      <w:r>
        <w:rPr>
          <w:b/>
        </w:rPr>
        <w:t xml:space="preserve">• </w:t>
      </w:r>
      <w:r>
        <w:t>Active transport service is counted from age thirty to fifty in the KJV/Masoretic text.</w:t>
      </w:r>
    </w:p>
    <w:p>
      <w:pPr>
        <w:ind w:left="259" w:hanging="202"/>
      </w:pPr>
      <w:r>
        <w:rPr>
          <w:b/>
        </w:rPr>
        <w:t xml:space="preserve">• </w:t>
      </w:r>
      <w:r>
        <w:t>Numbers 8:24 gives age twenty-five; the relationship between the two age statements is not explicitly explained.</w:t>
      </w:r>
    </w:p>
    <w:p>
      <w:pPr>
        <w:ind w:left="259" w:hanging="202"/>
      </w:pPr>
      <w:r>
        <w:rPr>
          <w:b/>
        </w:rPr>
        <w:t xml:space="preserve">• </w:t>
      </w:r>
      <w:r>
        <w:t>Priests prepare and cover the holy furniture before Kohathites approach.</w:t>
      </w:r>
    </w:p>
    <w:p>
      <w:pPr>
        <w:ind w:left="259" w:hanging="202"/>
      </w:pPr>
      <w:r>
        <w:rPr>
          <w:b/>
        </w:rPr>
        <w:t xml:space="preserve">• </w:t>
      </w:r>
      <w:r>
        <w:t>Kohathites carry but may neither touch nor watch the exposed holy things.</w:t>
      </w:r>
    </w:p>
    <w:p>
      <w:pPr>
        <w:ind w:left="259" w:hanging="202"/>
      </w:pPr>
      <w:r>
        <w:rPr>
          <w:b/>
        </w:rPr>
        <w:t xml:space="preserve">• </w:t>
      </w:r>
      <w:r>
        <w:t>Tachash is an unidentified covering material; KJV “badgers’ skins” is not secure.</w:t>
      </w:r>
    </w:p>
    <w:p>
      <w:pPr>
        <w:ind w:left="259" w:hanging="202"/>
      </w:pPr>
      <w:r>
        <w:rPr>
          <w:b/>
        </w:rPr>
        <w:t xml:space="preserve">• </w:t>
      </w:r>
      <w:r>
        <w:t>KJV “candlestick” is a lampstand/menorah and “meat offering” is a grain offering.</w:t>
      </w:r>
    </w:p>
    <w:p>
      <w:pPr>
        <w:ind w:left="259" w:hanging="202"/>
      </w:pPr>
      <w:r>
        <w:rPr>
          <w:b/>
        </w:rPr>
        <w:t xml:space="preserve">• </w:t>
      </w:r>
      <w:r>
        <w:t>Gershon and Merari have equally assigned, named burdens under Ithamar.</w:t>
      </w:r>
    </w:p>
    <w:p>
      <w:pPr>
        <w:ind w:left="259" w:hanging="202"/>
      </w:pPr>
      <w:r>
        <w:rPr>
          <w:b/>
        </w:rPr>
        <w:t xml:space="preserve">• </w:t>
      </w:r>
      <w:r>
        <w:t>The working Levite census totals 8,580.</w:t>
      </w:r>
    </w:p>
    <w:p>
      <w:pPr>
        <w:ind w:left="259" w:hanging="202"/>
      </w:pPr>
      <w:r>
        <w:rPr>
          <w:b/>
        </w:rPr>
        <w:t xml:space="preserve">• </w:t>
      </w:r>
      <w:r>
        <w:t>Service is cooperative and ordered rather than self-appointed.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 / item</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4:3</w:t>
            </w:r>
          </w:p>
        </w:tc>
        <w:tc>
          <w:tcPr>
            <w:tcW w:type="dxa" w:w="3561"/>
            <w:vAlign w:val="top"/>
          </w:tcPr>
          <w:p>
            <w:pPr>
              <w:spacing w:after="0" w:line="228" w:lineRule="auto"/>
            </w:pPr>
            <w:r>
              <w:rPr>
                <w:rFonts w:ascii="Times New Roman" w:hAnsi="Times New Roman"/>
                <w:sz w:val="13"/>
              </w:rPr>
              <w:t>30–50 years</w:t>
            </w:r>
          </w:p>
        </w:tc>
        <w:tc>
          <w:tcPr>
            <w:tcW w:type="dxa" w:w="3561"/>
            <w:vAlign w:val="top"/>
          </w:tcPr>
          <w:p>
            <w:pPr>
              <w:spacing w:after="0" w:line="228" w:lineRule="auto"/>
            </w:pPr>
            <w:r>
              <w:rPr>
                <w:rFonts w:ascii="Times New Roman" w:hAnsi="Times New Roman"/>
                <w:sz w:val="13"/>
              </w:rPr>
              <w:t>Masoretic/KJV age for active transport/service census.</w:t>
            </w:r>
          </w:p>
        </w:tc>
      </w:tr>
      <w:tr>
        <w:tc>
          <w:tcPr>
            <w:tcW w:type="dxa" w:w="3561"/>
            <w:vAlign w:val="top"/>
          </w:tcPr>
          <w:p>
            <w:pPr>
              <w:spacing w:after="0" w:line="228" w:lineRule="auto"/>
            </w:pPr>
            <w:r>
              <w:rPr>
                <w:rFonts w:ascii="Times New Roman" w:hAnsi="Times New Roman"/>
                <w:sz w:val="13"/>
              </w:rPr>
              <w:t>Num. 8:24</w:t>
            </w:r>
          </w:p>
        </w:tc>
        <w:tc>
          <w:tcPr>
            <w:tcW w:type="dxa" w:w="3561"/>
            <w:vAlign w:val="top"/>
          </w:tcPr>
          <w:p>
            <w:pPr>
              <w:spacing w:after="0" w:line="228" w:lineRule="auto"/>
            </w:pPr>
            <w:r>
              <w:rPr>
                <w:rFonts w:ascii="Times New Roman" w:hAnsi="Times New Roman"/>
                <w:sz w:val="13"/>
              </w:rPr>
              <w:t>25 years and upward</w:t>
            </w:r>
          </w:p>
        </w:tc>
        <w:tc>
          <w:tcPr>
            <w:tcW w:type="dxa" w:w="3561"/>
            <w:vAlign w:val="top"/>
          </w:tcPr>
          <w:p>
            <w:pPr>
              <w:spacing w:after="0" w:line="228" w:lineRule="auto"/>
            </w:pPr>
            <w:r>
              <w:rPr>
                <w:rFonts w:ascii="Times New Roman" w:hAnsi="Times New Roman"/>
                <w:sz w:val="13"/>
              </w:rPr>
              <w:t>Later age statement; preparatory-service explanation is plausible but unstated.</w:t>
            </w:r>
          </w:p>
        </w:tc>
      </w:tr>
      <w:tr>
        <w:tc>
          <w:tcPr>
            <w:tcW w:type="dxa" w:w="3561"/>
            <w:vAlign w:val="top"/>
          </w:tcPr>
          <w:p>
            <w:pPr>
              <w:spacing w:after="0" w:line="228" w:lineRule="auto"/>
            </w:pPr>
            <w:r>
              <w:rPr>
                <w:rFonts w:ascii="Times New Roman" w:hAnsi="Times New Roman"/>
                <w:sz w:val="13"/>
              </w:rPr>
              <w:t>LXX Num. 4:3</w:t>
            </w:r>
          </w:p>
        </w:tc>
        <w:tc>
          <w:tcPr>
            <w:tcW w:type="dxa" w:w="3561"/>
            <w:vAlign w:val="top"/>
          </w:tcPr>
          <w:p>
            <w:pPr>
              <w:spacing w:after="0" w:line="228" w:lineRule="auto"/>
            </w:pPr>
            <w:r>
              <w:rPr>
                <w:rFonts w:ascii="Times New Roman" w:hAnsi="Times New Roman"/>
                <w:sz w:val="13"/>
              </w:rPr>
              <w:t>25-year reading</w:t>
            </w:r>
          </w:p>
        </w:tc>
        <w:tc>
          <w:tcPr>
            <w:tcW w:type="dxa" w:w="3561"/>
            <w:vAlign w:val="top"/>
          </w:tcPr>
          <w:p>
            <w:pPr>
              <w:spacing w:after="0" w:line="228" w:lineRule="auto"/>
            </w:pPr>
            <w:r>
              <w:rPr>
                <w:rFonts w:ascii="Times New Roman" w:hAnsi="Times New Roman"/>
                <w:sz w:val="13"/>
              </w:rPr>
              <w:t>Ancient textual tradition aligning with Num. 8:24.</w:t>
            </w:r>
          </w:p>
        </w:tc>
      </w:tr>
      <w:tr>
        <w:tc>
          <w:tcPr>
            <w:tcW w:type="dxa" w:w="3561"/>
            <w:vAlign w:val="top"/>
          </w:tcPr>
          <w:p>
            <w:pPr>
              <w:spacing w:after="0" w:line="228" w:lineRule="auto"/>
            </w:pPr>
            <w:r>
              <w:rPr>
                <w:rFonts w:ascii="Times New Roman" w:hAnsi="Times New Roman"/>
                <w:sz w:val="13"/>
              </w:rPr>
              <w:t>Num. 4:5–6</w:t>
            </w:r>
          </w:p>
        </w:tc>
        <w:tc>
          <w:tcPr>
            <w:tcW w:type="dxa" w:w="3561"/>
            <w:vAlign w:val="top"/>
          </w:tcPr>
          <w:p>
            <w:pPr>
              <w:spacing w:after="0" w:line="228" w:lineRule="auto"/>
            </w:pPr>
            <w:r>
              <w:rPr>
                <w:rFonts w:ascii="Times New Roman" w:hAnsi="Times New Roman"/>
                <w:sz w:val="13"/>
              </w:rPr>
              <w:t>ark covering order</w:t>
            </w:r>
          </w:p>
        </w:tc>
        <w:tc>
          <w:tcPr>
            <w:tcW w:type="dxa" w:w="3561"/>
            <w:vAlign w:val="top"/>
          </w:tcPr>
          <w:p>
            <w:pPr>
              <w:spacing w:after="0" w:line="228" w:lineRule="auto"/>
            </w:pPr>
            <w:r>
              <w:rPr>
                <w:rFonts w:ascii="Times New Roman" w:hAnsi="Times New Roman"/>
                <w:sz w:val="13"/>
              </w:rPr>
              <w:t>Veil, tachash, outer blue cloth, staves.</w:t>
            </w:r>
          </w:p>
        </w:tc>
      </w:tr>
      <w:tr>
        <w:tc>
          <w:tcPr>
            <w:tcW w:type="dxa" w:w="3561"/>
            <w:vAlign w:val="top"/>
          </w:tcPr>
          <w:p>
            <w:pPr>
              <w:spacing w:after="0" w:line="228" w:lineRule="auto"/>
            </w:pPr>
            <w:r>
              <w:rPr>
                <w:rFonts w:ascii="Times New Roman" w:hAnsi="Times New Roman"/>
                <w:sz w:val="13"/>
              </w:rPr>
              <w:t>Num. 4:6</w:t>
            </w:r>
          </w:p>
        </w:tc>
        <w:tc>
          <w:tcPr>
            <w:tcW w:type="dxa" w:w="3561"/>
            <w:vAlign w:val="top"/>
          </w:tcPr>
          <w:p>
            <w:pPr>
              <w:spacing w:after="0" w:line="228" w:lineRule="auto"/>
            </w:pPr>
            <w:r>
              <w:rPr>
                <w:rFonts w:ascii="Times New Roman" w:hAnsi="Times New Roman"/>
                <w:sz w:val="13"/>
              </w:rPr>
              <w:t>tachash</w:t>
            </w:r>
          </w:p>
        </w:tc>
        <w:tc>
          <w:tcPr>
            <w:tcW w:type="dxa" w:w="3561"/>
            <w:vAlign w:val="top"/>
          </w:tcPr>
          <w:p>
            <w:pPr>
              <w:spacing w:after="0" w:line="228" w:lineRule="auto"/>
            </w:pPr>
            <w:r>
              <w:rPr>
                <w:rFonts w:ascii="Times New Roman" w:hAnsi="Times New Roman"/>
                <w:sz w:val="13"/>
              </w:rPr>
              <w:t>Exact animal/material unidentified.</w:t>
            </w:r>
          </w:p>
        </w:tc>
      </w:tr>
      <w:tr>
        <w:tc>
          <w:tcPr>
            <w:tcW w:type="dxa" w:w="3561"/>
            <w:vAlign w:val="top"/>
          </w:tcPr>
          <w:p>
            <w:pPr>
              <w:spacing w:after="0" w:line="228" w:lineRule="auto"/>
            </w:pPr>
            <w:r>
              <w:rPr>
                <w:rFonts w:ascii="Times New Roman" w:hAnsi="Times New Roman"/>
                <w:sz w:val="13"/>
              </w:rPr>
              <w:t>Num. 4:7–14</w:t>
            </w:r>
          </w:p>
        </w:tc>
        <w:tc>
          <w:tcPr>
            <w:tcW w:type="dxa" w:w="3561"/>
            <w:vAlign w:val="top"/>
          </w:tcPr>
          <w:p>
            <w:pPr>
              <w:spacing w:after="0" w:line="228" w:lineRule="auto"/>
            </w:pPr>
            <w:r>
              <w:rPr>
                <w:rFonts w:ascii="Times New Roman" w:hAnsi="Times New Roman"/>
                <w:sz w:val="13"/>
              </w:rPr>
              <w:t>priests cover furniture</w:t>
            </w:r>
          </w:p>
        </w:tc>
        <w:tc>
          <w:tcPr>
            <w:tcW w:type="dxa" w:w="3561"/>
            <w:vAlign w:val="top"/>
          </w:tcPr>
          <w:p>
            <w:pPr>
              <w:spacing w:after="0" w:line="228" w:lineRule="auto"/>
            </w:pPr>
            <w:r>
              <w:rPr>
                <w:rFonts w:ascii="Times New Roman" w:hAnsi="Times New Roman"/>
                <w:sz w:val="13"/>
              </w:rPr>
              <w:t>Kohathites do not prepare exposed holy objects themselves.</w:t>
            </w:r>
          </w:p>
        </w:tc>
      </w:tr>
      <w:tr>
        <w:tc>
          <w:tcPr>
            <w:tcW w:type="dxa" w:w="3561"/>
            <w:vAlign w:val="top"/>
          </w:tcPr>
          <w:p>
            <w:pPr>
              <w:spacing w:after="0" w:line="228" w:lineRule="auto"/>
            </w:pPr>
            <w:r>
              <w:rPr>
                <w:rFonts w:ascii="Times New Roman" w:hAnsi="Times New Roman"/>
                <w:sz w:val="13"/>
              </w:rPr>
              <w:t>Num. 4:15</w:t>
            </w:r>
          </w:p>
        </w:tc>
        <w:tc>
          <w:tcPr>
            <w:tcW w:type="dxa" w:w="3561"/>
            <w:vAlign w:val="top"/>
          </w:tcPr>
          <w:p>
            <w:pPr>
              <w:spacing w:after="0" w:line="228" w:lineRule="auto"/>
            </w:pPr>
            <w:r>
              <w:rPr>
                <w:rFonts w:ascii="Times New Roman" w:hAnsi="Times New Roman"/>
                <w:sz w:val="13"/>
              </w:rPr>
              <w:t>do not touch</w:t>
            </w:r>
          </w:p>
        </w:tc>
        <w:tc>
          <w:tcPr>
            <w:tcW w:type="dxa" w:w="3561"/>
            <w:vAlign w:val="top"/>
          </w:tcPr>
          <w:p>
            <w:pPr>
              <w:spacing w:after="0" w:line="228" w:lineRule="auto"/>
            </w:pPr>
            <w:r>
              <w:rPr>
                <w:rFonts w:ascii="Times New Roman" w:hAnsi="Times New Roman"/>
                <w:sz w:val="13"/>
              </w:rPr>
              <w:t>Direct death warning.</w:t>
            </w:r>
          </w:p>
        </w:tc>
      </w:tr>
      <w:tr>
        <w:tc>
          <w:tcPr>
            <w:tcW w:type="dxa" w:w="3561"/>
            <w:vAlign w:val="top"/>
          </w:tcPr>
          <w:p>
            <w:pPr>
              <w:spacing w:after="0" w:line="228" w:lineRule="auto"/>
            </w:pPr>
            <w:r>
              <w:rPr>
                <w:rFonts w:ascii="Times New Roman" w:hAnsi="Times New Roman"/>
                <w:sz w:val="13"/>
              </w:rPr>
              <w:t>Num. 4:16</w:t>
            </w:r>
          </w:p>
        </w:tc>
        <w:tc>
          <w:tcPr>
            <w:tcW w:type="dxa" w:w="3561"/>
            <w:vAlign w:val="top"/>
          </w:tcPr>
          <w:p>
            <w:pPr>
              <w:spacing w:after="0" w:line="228" w:lineRule="auto"/>
            </w:pPr>
            <w:r>
              <w:rPr>
                <w:rFonts w:ascii="Times New Roman" w:hAnsi="Times New Roman"/>
                <w:sz w:val="13"/>
              </w:rPr>
              <w:t>continual “meat” offering</w:t>
            </w:r>
          </w:p>
        </w:tc>
        <w:tc>
          <w:tcPr>
            <w:tcW w:type="dxa" w:w="3561"/>
            <w:vAlign w:val="top"/>
          </w:tcPr>
          <w:p>
            <w:pPr>
              <w:spacing w:after="0" w:line="228" w:lineRule="auto"/>
            </w:pPr>
            <w:r>
              <w:rPr>
                <w:rFonts w:ascii="Times New Roman" w:hAnsi="Times New Roman"/>
                <w:sz w:val="13"/>
              </w:rPr>
              <w:t>Grain/meal offering; archaic KJV “meat.”</w:t>
            </w:r>
          </w:p>
        </w:tc>
      </w:tr>
      <w:tr>
        <w:tc>
          <w:tcPr>
            <w:tcW w:type="dxa" w:w="3561"/>
            <w:vAlign w:val="top"/>
          </w:tcPr>
          <w:p>
            <w:pPr>
              <w:spacing w:after="0" w:line="228" w:lineRule="auto"/>
            </w:pPr>
            <w:r>
              <w:rPr>
                <w:rFonts w:ascii="Times New Roman" w:hAnsi="Times New Roman"/>
                <w:sz w:val="13"/>
              </w:rPr>
              <w:t>Num. 4:20</w:t>
            </w:r>
          </w:p>
        </w:tc>
        <w:tc>
          <w:tcPr>
            <w:tcW w:type="dxa" w:w="3561"/>
            <w:vAlign w:val="top"/>
          </w:tcPr>
          <w:p>
            <w:pPr>
              <w:spacing w:after="0" w:line="228" w:lineRule="auto"/>
            </w:pPr>
            <w:r>
              <w:rPr>
                <w:rFonts w:ascii="Times New Roman" w:hAnsi="Times New Roman"/>
                <w:sz w:val="13"/>
              </w:rPr>
              <w:t>do not see holy things uncovered</w:t>
            </w:r>
          </w:p>
        </w:tc>
        <w:tc>
          <w:tcPr>
            <w:tcW w:type="dxa" w:w="3561"/>
            <w:vAlign w:val="top"/>
          </w:tcPr>
          <w:p>
            <w:pPr>
              <w:spacing w:after="0" w:line="228" w:lineRule="auto"/>
            </w:pPr>
            <w:r>
              <w:rPr>
                <w:rFonts w:ascii="Times New Roman" w:hAnsi="Times New Roman"/>
                <w:sz w:val="13"/>
              </w:rPr>
              <w:t>Boundary while priests cover/prep.</w:t>
            </w:r>
          </w:p>
        </w:tc>
      </w:tr>
      <w:tr>
        <w:tc>
          <w:tcPr>
            <w:tcW w:type="dxa" w:w="3561"/>
            <w:vAlign w:val="top"/>
          </w:tcPr>
          <w:p>
            <w:pPr>
              <w:spacing w:after="0" w:line="228" w:lineRule="auto"/>
            </w:pPr>
            <w:r>
              <w:rPr>
                <w:rFonts w:ascii="Times New Roman" w:hAnsi="Times New Roman"/>
                <w:sz w:val="13"/>
              </w:rPr>
              <w:t>Num. 4:23</w:t>
            </w:r>
          </w:p>
        </w:tc>
        <w:tc>
          <w:tcPr>
            <w:tcW w:type="dxa" w:w="3561"/>
            <w:vAlign w:val="top"/>
          </w:tcPr>
          <w:p>
            <w:pPr>
              <w:spacing w:after="0" w:line="228" w:lineRule="auto"/>
            </w:pPr>
            <w:r>
              <w:rPr>
                <w:rFonts w:ascii="Times New Roman" w:hAnsi="Times New Roman"/>
                <w:sz w:val="13"/>
              </w:rPr>
              <w:t>service/host language</w:t>
            </w:r>
          </w:p>
        </w:tc>
        <w:tc>
          <w:tcPr>
            <w:tcW w:type="dxa" w:w="3561"/>
            <w:vAlign w:val="top"/>
          </w:tcPr>
          <w:p>
            <w:pPr>
              <w:spacing w:after="0" w:line="228" w:lineRule="auto"/>
            </w:pPr>
            <w:r>
              <w:rPr>
                <w:rFonts w:ascii="Times New Roman" w:hAnsi="Times New Roman"/>
                <w:sz w:val="13"/>
              </w:rPr>
              <w:t>Organised service with military resonance.</w:t>
            </w:r>
          </w:p>
        </w:tc>
      </w:tr>
      <w:tr>
        <w:tc>
          <w:tcPr>
            <w:tcW w:type="dxa" w:w="3561"/>
            <w:vAlign w:val="top"/>
          </w:tcPr>
          <w:p>
            <w:pPr>
              <w:spacing w:after="0" w:line="228" w:lineRule="auto"/>
            </w:pPr>
            <w:r>
              <w:rPr>
                <w:rFonts w:ascii="Times New Roman" w:hAnsi="Times New Roman"/>
                <w:sz w:val="13"/>
              </w:rPr>
              <w:t>Num. 4:27–28</w:t>
            </w:r>
          </w:p>
        </w:tc>
        <w:tc>
          <w:tcPr>
            <w:tcW w:type="dxa" w:w="3561"/>
            <w:vAlign w:val="top"/>
          </w:tcPr>
          <w:p>
            <w:pPr>
              <w:spacing w:after="0" w:line="228" w:lineRule="auto"/>
            </w:pPr>
            <w:r>
              <w:rPr>
                <w:rFonts w:ascii="Times New Roman" w:hAnsi="Times New Roman"/>
                <w:sz w:val="13"/>
              </w:rPr>
              <w:t>Gershon under Ithamar</w:t>
            </w:r>
          </w:p>
        </w:tc>
        <w:tc>
          <w:tcPr>
            <w:tcW w:type="dxa" w:w="3561"/>
            <w:vAlign w:val="top"/>
          </w:tcPr>
          <w:p>
            <w:pPr>
              <w:spacing w:after="0" w:line="228" w:lineRule="auto"/>
            </w:pPr>
            <w:r>
              <w:rPr>
                <w:rFonts w:ascii="Times New Roman" w:hAnsi="Times New Roman"/>
                <w:sz w:val="13"/>
              </w:rPr>
              <w:t>Duties appointed and supervised.</w:t>
            </w:r>
          </w:p>
        </w:tc>
      </w:tr>
      <w:tr>
        <w:tc>
          <w:tcPr>
            <w:tcW w:type="dxa" w:w="3561"/>
            <w:vAlign w:val="top"/>
          </w:tcPr>
          <w:p>
            <w:pPr>
              <w:spacing w:after="0" w:line="228" w:lineRule="auto"/>
            </w:pPr>
            <w:r>
              <w:rPr>
                <w:rFonts w:ascii="Times New Roman" w:hAnsi="Times New Roman"/>
                <w:sz w:val="13"/>
              </w:rPr>
              <w:t>Num. 4:32–33</w:t>
            </w:r>
          </w:p>
        </w:tc>
        <w:tc>
          <w:tcPr>
            <w:tcW w:type="dxa" w:w="3561"/>
            <w:vAlign w:val="top"/>
          </w:tcPr>
          <w:p>
            <w:pPr>
              <w:spacing w:after="0" w:line="228" w:lineRule="auto"/>
            </w:pPr>
            <w:r>
              <w:rPr>
                <w:rFonts w:ascii="Times New Roman" w:hAnsi="Times New Roman"/>
                <w:sz w:val="13"/>
              </w:rPr>
              <w:t>Merari burdens by name</w:t>
            </w:r>
          </w:p>
        </w:tc>
        <w:tc>
          <w:tcPr>
            <w:tcW w:type="dxa" w:w="3561"/>
            <w:vAlign w:val="top"/>
          </w:tcPr>
          <w:p>
            <w:pPr>
              <w:spacing w:after="0" w:line="228" w:lineRule="auto"/>
            </w:pPr>
            <w:r>
              <w:rPr>
                <w:rFonts w:ascii="Times New Roman" w:hAnsi="Times New Roman"/>
                <w:sz w:val="13"/>
              </w:rPr>
              <w:t>Individual structural loads assigned.</w:t>
            </w:r>
          </w:p>
        </w:tc>
      </w:tr>
      <w:tr>
        <w:tc>
          <w:tcPr>
            <w:tcW w:type="dxa" w:w="3561"/>
            <w:vAlign w:val="top"/>
          </w:tcPr>
          <w:p>
            <w:pPr>
              <w:spacing w:after="0" w:line="228" w:lineRule="auto"/>
            </w:pPr>
            <w:r>
              <w:rPr>
                <w:rFonts w:ascii="Times New Roman" w:hAnsi="Times New Roman"/>
                <w:sz w:val="13"/>
              </w:rPr>
              <w:t>Num. 4:36</w:t>
            </w:r>
          </w:p>
        </w:tc>
        <w:tc>
          <w:tcPr>
            <w:tcW w:type="dxa" w:w="3561"/>
            <w:vAlign w:val="top"/>
          </w:tcPr>
          <w:p>
            <w:pPr>
              <w:spacing w:after="0" w:line="228" w:lineRule="auto"/>
            </w:pPr>
            <w:r>
              <w:rPr>
                <w:rFonts w:ascii="Times New Roman" w:hAnsi="Times New Roman"/>
                <w:sz w:val="13"/>
              </w:rPr>
              <w:t>Kohath 2,750</w:t>
            </w:r>
          </w:p>
        </w:tc>
        <w:tc>
          <w:tcPr>
            <w:tcW w:type="dxa" w:w="3561"/>
            <w:vAlign w:val="top"/>
          </w:tcPr>
          <w:p>
            <w:pPr>
              <w:spacing w:after="0" w:line="228" w:lineRule="auto"/>
            </w:pPr>
            <w:r>
              <w:rPr>
                <w:rFonts w:ascii="Times New Roman" w:hAnsi="Times New Roman"/>
                <w:sz w:val="13"/>
              </w:rPr>
              <w:t>Active-service total.</w:t>
            </w:r>
          </w:p>
        </w:tc>
      </w:tr>
      <w:tr>
        <w:tc>
          <w:tcPr>
            <w:tcW w:type="dxa" w:w="3561"/>
            <w:vAlign w:val="top"/>
          </w:tcPr>
          <w:p>
            <w:pPr>
              <w:spacing w:after="0" w:line="228" w:lineRule="auto"/>
            </w:pPr>
            <w:r>
              <w:rPr>
                <w:rFonts w:ascii="Times New Roman" w:hAnsi="Times New Roman"/>
                <w:sz w:val="13"/>
              </w:rPr>
              <w:t>Num. 4:40</w:t>
            </w:r>
          </w:p>
        </w:tc>
        <w:tc>
          <w:tcPr>
            <w:tcW w:type="dxa" w:w="3561"/>
            <w:vAlign w:val="top"/>
          </w:tcPr>
          <w:p>
            <w:pPr>
              <w:spacing w:after="0" w:line="228" w:lineRule="auto"/>
            </w:pPr>
            <w:r>
              <w:rPr>
                <w:rFonts w:ascii="Times New Roman" w:hAnsi="Times New Roman"/>
                <w:sz w:val="13"/>
              </w:rPr>
              <w:t>Gershon 2,630</w:t>
            </w:r>
          </w:p>
        </w:tc>
        <w:tc>
          <w:tcPr>
            <w:tcW w:type="dxa" w:w="3561"/>
            <w:vAlign w:val="top"/>
          </w:tcPr>
          <w:p>
            <w:pPr>
              <w:spacing w:after="0" w:line="228" w:lineRule="auto"/>
            </w:pPr>
            <w:r>
              <w:rPr>
                <w:rFonts w:ascii="Times New Roman" w:hAnsi="Times New Roman"/>
                <w:sz w:val="13"/>
              </w:rPr>
              <w:t>Active-service total.</w:t>
            </w:r>
          </w:p>
        </w:tc>
      </w:tr>
      <w:tr>
        <w:tc>
          <w:tcPr>
            <w:tcW w:type="dxa" w:w="3561"/>
            <w:vAlign w:val="top"/>
          </w:tcPr>
          <w:p>
            <w:pPr>
              <w:spacing w:after="0" w:line="228" w:lineRule="auto"/>
            </w:pPr>
            <w:r>
              <w:rPr>
                <w:rFonts w:ascii="Times New Roman" w:hAnsi="Times New Roman"/>
                <w:sz w:val="13"/>
              </w:rPr>
              <w:t>Num. 4:44</w:t>
            </w:r>
          </w:p>
        </w:tc>
        <w:tc>
          <w:tcPr>
            <w:tcW w:type="dxa" w:w="3561"/>
            <w:vAlign w:val="top"/>
          </w:tcPr>
          <w:p>
            <w:pPr>
              <w:spacing w:after="0" w:line="228" w:lineRule="auto"/>
            </w:pPr>
            <w:r>
              <w:rPr>
                <w:rFonts w:ascii="Times New Roman" w:hAnsi="Times New Roman"/>
                <w:sz w:val="13"/>
              </w:rPr>
              <w:t>Merari 3,200</w:t>
            </w:r>
          </w:p>
        </w:tc>
        <w:tc>
          <w:tcPr>
            <w:tcW w:type="dxa" w:w="3561"/>
            <w:vAlign w:val="top"/>
          </w:tcPr>
          <w:p>
            <w:pPr>
              <w:spacing w:after="0" w:line="228" w:lineRule="auto"/>
            </w:pPr>
            <w:r>
              <w:rPr>
                <w:rFonts w:ascii="Times New Roman" w:hAnsi="Times New Roman"/>
                <w:sz w:val="13"/>
              </w:rPr>
              <w:t>Active-service total.</w:t>
            </w:r>
          </w:p>
        </w:tc>
      </w:tr>
      <w:tr>
        <w:tc>
          <w:tcPr>
            <w:tcW w:type="dxa" w:w="3561"/>
            <w:vAlign w:val="top"/>
          </w:tcPr>
          <w:p>
            <w:pPr>
              <w:spacing w:after="0" w:line="228" w:lineRule="auto"/>
            </w:pPr>
            <w:r>
              <w:rPr>
                <w:rFonts w:ascii="Times New Roman" w:hAnsi="Times New Roman"/>
                <w:sz w:val="13"/>
              </w:rPr>
              <w:t>Num. 4:48</w:t>
            </w:r>
          </w:p>
        </w:tc>
        <w:tc>
          <w:tcPr>
            <w:tcW w:type="dxa" w:w="3561"/>
            <w:vAlign w:val="top"/>
          </w:tcPr>
          <w:p>
            <w:pPr>
              <w:spacing w:after="0" w:line="228" w:lineRule="auto"/>
            </w:pPr>
            <w:r>
              <w:rPr>
                <w:rFonts w:ascii="Times New Roman" w:hAnsi="Times New Roman"/>
                <w:sz w:val="13"/>
              </w:rPr>
              <w:t>8,580</w:t>
            </w:r>
          </w:p>
        </w:tc>
        <w:tc>
          <w:tcPr>
            <w:tcW w:type="dxa" w:w="3561"/>
            <w:vAlign w:val="top"/>
          </w:tcPr>
          <w:p>
            <w:pPr>
              <w:spacing w:after="0" w:line="228" w:lineRule="auto"/>
            </w:pPr>
            <w:r>
              <w:rPr>
                <w:rFonts w:ascii="Times New Roman" w:hAnsi="Times New Roman"/>
                <w:sz w:val="13"/>
              </w:rPr>
              <w:t>Explicit total working Levites.</w:t>
            </w:r>
          </w:p>
        </w:tc>
      </w:tr>
      <w:tr>
        <w:tc>
          <w:tcPr>
            <w:tcW w:type="dxa" w:w="3561"/>
            <w:vAlign w:val="top"/>
          </w:tcPr>
          <w:p>
            <w:pPr>
              <w:spacing w:after="0" w:line="228" w:lineRule="auto"/>
            </w:pPr>
            <w:r>
              <w:rPr>
                <w:rFonts w:ascii="Times New Roman" w:hAnsi="Times New Roman"/>
                <w:sz w:val="13"/>
              </w:rPr>
              <w:t>Num. 4:49</w:t>
            </w:r>
          </w:p>
        </w:tc>
        <w:tc>
          <w:tcPr>
            <w:tcW w:type="dxa" w:w="3561"/>
            <w:vAlign w:val="top"/>
          </w:tcPr>
          <w:p>
            <w:pPr>
              <w:spacing w:after="0" w:line="228" w:lineRule="auto"/>
            </w:pPr>
            <w:r>
              <w:rPr>
                <w:rFonts w:ascii="Times New Roman" w:hAnsi="Times New Roman"/>
                <w:sz w:val="13"/>
              </w:rPr>
              <w:t>service and burden by command</w:t>
            </w:r>
          </w:p>
        </w:tc>
        <w:tc>
          <w:tcPr>
            <w:tcW w:type="dxa" w:w="3561"/>
            <w:vAlign w:val="top"/>
          </w:tcPr>
          <w:p>
            <w:pPr>
              <w:spacing w:after="0" w:line="228" w:lineRule="auto"/>
            </w:pPr>
            <w:r>
              <w:rPr>
                <w:rFonts w:ascii="Times New Roman" w:hAnsi="Times New Roman"/>
                <w:sz w:val="13"/>
              </w:rPr>
              <w:t>Closing principle of individual appointment.</w:t>
            </w:r>
          </w:p>
        </w:tc>
      </w:tr>
    </w:tbl>
    <w:p>
      <w:pPr>
        <w:pStyle w:val="Heading1"/>
      </w:pPr>
      <w:r>
        <w:t>RESIDUAL UNCERTAINTIES</w:t>
      </w:r>
    </w:p>
    <w:p>
      <w:pPr/>
      <w:r>
        <w:rPr>
          <w:i w:val="0"/>
        </w:rPr>
        <w:t>The 30-versus-25 commencement age remains an interpretive/textual question; an apprenticeship explanation is reasonable but not stated as fact. Exact reconstructions of the furniture coverings can differ in minor handling detail, and tachash remains unidentified.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