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5</w:t>
      </w:r>
    </w:p>
    <w:p>
      <w:pPr>
        <w:pStyle w:val="Subtitle"/>
      </w:pPr>
      <w:r>
        <w:t>SEPARATED FROM DEFILEMENT • UNCLEANNESS OUTSIDE THE CAMP • CONFESSION AND RESTITUTION • THE TRIAL OF JEALOUSY • HIDDEN MATTERS REFERRED TO YAHWEH</w:t>
      </w:r>
    </w:p>
    <w:p>
      <w:pPr/>
      <w:r>
        <w:rPr>
          <w:i/>
        </w:rPr>
        <w:t>H. P. Mansfield Bible notes — checked and arranged in verse-by-verse Expositor style</w:t>
      </w:r>
    </w:p>
    <w:p>
      <w:pPr/>
      <w:r>
        <w:rPr>
          <w:i w:val="0"/>
        </w:rPr>
        <w:t>Source: HPB 03-Lev12-Num36.PDF, Numbers 5 annotated pages; cross-checked with Mansfield’s Numbers Expositor Chapter 5.</w:t>
      </w:r>
    </w:p>
    <w:p>
      <w:pPr>
        <w:pStyle w:val="Heading1"/>
      </w:pPr>
      <w:r>
        <w:t>CHAPTER OVERVIEW</w:t>
      </w:r>
    </w:p>
    <w:p>
      <w:pPr/>
      <w:r>
        <w:rPr>
          <w:i w:val="0"/>
        </w:rPr>
        <w:t>After the military and Levitical camp has been ordered, Numbers 5 requires the camp itself to be kept clean because Yahweh dwells in its midst. Ceremonial defilement, unrepaired personal wrong and unresolved suspicion within marriage are all brought under covenant regulation.</w:t>
      </w:r>
    </w:p>
    <w:p>
      <w:pPr/>
      <w:r>
        <w:rPr>
          <w:i w:val="0"/>
        </w:rPr>
        <w:t>The jealousy procedure is especially important to handle accurately. It does not authorise a husband to punish his wife on suspicion. Where there is no witness and no ordinary legal proof, the matter is transferred to a controlled priestly oath procedure before Yahweh.</w:t>
      </w:r>
    </w:p>
    <w:p>
      <w:pPr>
        <w:pStyle w:val="Heading1"/>
      </w:pPr>
      <w:r>
        <w:t>THE CAMP CLEANSED — NUMBERS 5:1–4</w:t>
      </w:r>
    </w:p>
    <w:p>
      <w:pPr>
        <w:pStyle w:val="Heading2"/>
      </w:pPr>
      <w:r>
        <w:t>Numbers 5:1–3 — three forms of ceremonial defilement removed</w:t>
      </w:r>
    </w:p>
    <w:p>
      <w:pPr/>
      <w:r>
        <w:rPr>
          <w:i w:val="0"/>
        </w:rPr>
        <w:t>Persons affected by tsara‘at, a bodily discharge, or defilement through a dead person are temporarily sent outside the camp, male and female alike, so that the camps in which Yahweh dwells are not defiled.</w:t>
      </w:r>
    </w:p>
    <w:p>
      <w:pPr/>
      <w:r>
        <w:rPr>
          <w:i w:val="0"/>
        </w:rPr>
        <w:t>Tsara‘at is the broader biblical ritual-affliction category already encountered in Leviticus 13–14, not simply modern Hansen’s disease. The phrase translated “defiled by the dead” uses nephesh in a corpse/dead-person context and therefore gives no support to an inherently immortal soul.</w:t>
      </w:r>
    </w:p>
    <w:p>
      <w:pPr>
        <w:pStyle w:val="Heading2"/>
      </w:pPr>
      <w:r>
        <w:t>Numbers 5:4 — Israel obeys</w:t>
      </w:r>
    </w:p>
    <w:p>
      <w:pPr/>
      <w:r>
        <w:rPr>
          <w:i w:val="0"/>
        </w:rPr>
        <w:t>The children of Israel put the ceremonially unclean outside the camp according to Yahweh’s command. The exclusion is ritual and temporary according to the relevant purification laws; it is not a declaration that afflicted people are socially worthless.</w:t>
      </w:r>
    </w:p>
    <w:p>
      <w:pPr>
        <w:pStyle w:val="Heading1"/>
      </w:pPr>
      <w:r>
        <w:t>CONFESSION AND RESTITUTION — NUMBERS 5:5–10</w:t>
      </w:r>
    </w:p>
    <w:p>
      <w:pPr>
        <w:pStyle w:val="Heading2"/>
      </w:pPr>
      <w:r>
        <w:t>Numbers 5:5–7 — wrong against a person is unfaithfulness toward Yahweh</w:t>
      </w:r>
    </w:p>
    <w:p>
      <w:pPr/>
      <w:r>
        <w:rPr>
          <w:i w:val="0"/>
        </w:rPr>
        <w:t>When a man or woman commits a human wrong that constitutes ma‘al, covenant unfaithfulness/trespass against Yahweh, guilt must be confessed. The offender restores the principal and adds one fifth, giving it to the person wronged.</w:t>
      </w:r>
    </w:p>
    <w:p>
      <w:pPr/>
      <w:r>
        <w:rPr>
          <w:i w:val="0"/>
        </w:rPr>
        <w:t>This repeats the principle of Leviticus 5:14–6:7: sacrifice does not replace practical restitution when measurable injury has occurred.</w:t>
      </w:r>
    </w:p>
    <w:p>
      <w:pPr>
        <w:pStyle w:val="Heading2"/>
      </w:pPr>
      <w:r>
        <w:t>Numbers 5:8 — when no kinsman-redeemer exists</w:t>
      </w:r>
    </w:p>
    <w:p>
      <w:pPr/>
      <w:r>
        <w:rPr>
          <w:i w:val="0"/>
        </w:rPr>
        <w:t>If the injured person has no go’el, kinsman entitled to receive the restitution, the repayment goes to Yahweh for the priest, in addition to the ram through which atonement is made.</w:t>
      </w:r>
    </w:p>
    <w:p>
      <w:pPr/>
      <w:r>
        <w:rPr>
          <w:i w:val="0"/>
        </w:rPr>
        <w:t>The verse therefore prevents the absence of an heir/kinsman from turning an acknowledged debt into the offender’s gain.</w:t>
      </w:r>
    </w:p>
    <w:p>
      <w:pPr>
        <w:pStyle w:val="Heading2"/>
      </w:pPr>
      <w:r>
        <w:t>Numbers 5:9–10 — holy contributions belong where Yahweh assigns them</w:t>
      </w:r>
    </w:p>
    <w:p>
      <w:pPr/>
      <w:r>
        <w:rPr>
          <w:i w:val="0"/>
        </w:rPr>
        <w:t>Every terumah, contribution/heave portion, brought to the priest belongs to the priest according to Yahweh’s regulation. The chapter joins personal honesty with honesty in sacred property.</w:t>
      </w:r>
    </w:p>
    <w:p>
      <w:pPr>
        <w:pStyle w:val="Heading1"/>
      </w:pPr>
      <w:r>
        <w:t>THE TRIAL OF JEALOUSY — NUMBERS 5:11–31</w:t>
      </w:r>
    </w:p>
    <w:p>
      <w:pPr>
        <w:pStyle w:val="Heading2"/>
      </w:pPr>
      <w:r>
        <w:t>Numbers 5:11–14 — suspicion without witnesses</w:t>
      </w:r>
    </w:p>
    <w:p>
      <w:pPr/>
      <w:r>
        <w:rPr>
          <w:i w:val="0"/>
        </w:rPr>
        <w:t>The law addresses a husband whose wife may have committed adultery without being caught by witnesses, or whose ruach qin’ah, spirit of jealousy, comes upon him although she is innocent. The text explicitly allows for either guilt or innocence.</w:t>
      </w:r>
    </w:p>
    <w:p>
      <w:pPr/>
      <w:r>
        <w:rPr>
          <w:i w:val="0"/>
        </w:rPr>
        <w:t>Because normal evidentiary conviction is unavailable, the husband does not impose punishment himself; he must bring the unresolved case to the priest before Yahweh.</w:t>
      </w:r>
    </w:p>
    <w:p>
      <w:pPr>
        <w:pStyle w:val="Heading2"/>
      </w:pPr>
      <w:r>
        <w:t>Numbers 5:15 — barley memorial offering without oil or frankincense</w:t>
      </w:r>
    </w:p>
    <w:p>
      <w:pPr/>
      <w:r>
        <w:rPr>
          <w:i w:val="0"/>
        </w:rPr>
        <w:t>The husband brings one tenth of an ephah of barley meal. No oil or frankincense is placed on it; it is called a grain offering of jealousy and memorial bringing iniquity to remembrance.</w:t>
      </w:r>
    </w:p>
    <w:p>
      <w:pPr/>
      <w:r>
        <w:rPr>
          <w:i w:val="0"/>
        </w:rPr>
        <w:t>Mansfield’s spiritual applications of barley, oil and frankincense are typological. The text does not state that the absence of oil or incense proves the woman has failed in ordinary wifely affection.</w:t>
      </w:r>
    </w:p>
    <w:p>
      <w:pPr>
        <w:pStyle w:val="Heading2"/>
      </w:pPr>
      <w:r>
        <w:t>Numbers 5:16–18 — holy water, dust, loosened hair and the memorial offering</w:t>
      </w:r>
    </w:p>
    <w:p>
      <w:pPr/>
      <w:r>
        <w:rPr>
          <w:i w:val="0"/>
        </w:rPr>
        <w:t>The priest sets the woman before Yahweh, takes holy water in an earthen vessel and adds dust from the tabernacle floor. He places the memorial offering in her hands while holding the bitter curse-bearing water.</w:t>
      </w:r>
    </w:p>
    <w:p>
      <w:pPr/>
      <w:r>
        <w:rPr>
          <w:i w:val="0"/>
        </w:rPr>
        <w:t>KJV “uncover the woman’s head” translates para‘. In this setting it more probably means loosen/unbind the hair or leave the head dishevelled, a public sign of humiliation; the exact gesture is not described beyond the Hebrew term.</w:t>
      </w:r>
    </w:p>
    <w:p>
      <w:pPr>
        <w:pStyle w:val="Heading2"/>
      </w:pPr>
      <w:r>
        <w:t>Numbers 5:19–22 — the oath presumes innocence unless guilt is revealed</w:t>
      </w:r>
    </w:p>
    <w:p>
      <w:pPr/>
      <w:r>
        <w:rPr>
          <w:i w:val="0"/>
        </w:rPr>
        <w:t>The priest first states the acquitting condition: if she has not been sexually unfaithful, she is free from the curse. He then states the curse if she has committed adultery, and the woman answers “Amen, amen.”</w:t>
      </w:r>
    </w:p>
    <w:p>
      <w:pPr/>
      <w:r>
        <w:rPr>
          <w:i w:val="0"/>
        </w:rPr>
        <w:t>The expressions concerning the belly and thigh describe a bodily/reproductive judgment, but the exact medical effect is uncertain. KJV “thigh to rot” should not be converted into a confident modern diagnosis.</w:t>
      </w:r>
    </w:p>
    <w:p>
      <w:pPr>
        <w:pStyle w:val="Heading2"/>
      </w:pPr>
      <w:r>
        <w:t>Numbers 5:23–26 — written curses washed into the water</w:t>
      </w:r>
    </w:p>
    <w:p>
      <w:pPr/>
      <w:r>
        <w:rPr>
          <w:i w:val="0"/>
        </w:rPr>
        <w:t>The priest writes the curses and wipes/washes them into the bitter water, then presents the memorial portion on the altar before giving the woman the water to drink.</w:t>
      </w:r>
    </w:p>
    <w:p>
      <w:pPr/>
      <w:r>
        <w:rPr>
          <w:i w:val="0"/>
        </w:rPr>
        <w:t>The water is called “bitter” because it is curse-bearing in the judicial ordeal; the chapter does not require that its ordinary taste was chemically bitter.</w:t>
      </w:r>
    </w:p>
    <w:p>
      <w:pPr>
        <w:pStyle w:val="Heading2"/>
      </w:pPr>
      <w:r>
        <w:t>Numbers 5:27–28 — guilt exposed or innocence cleared</w:t>
      </w:r>
    </w:p>
    <w:p>
      <w:pPr/>
      <w:r>
        <w:rPr>
          <w:i w:val="0"/>
        </w:rPr>
        <w:t>If guilty, the divinely administered sign brings the stated judgment. If innocent, the woman is free and may “conceive seed,” naturally meaning continued/recovered capacity to bear children.</w:t>
      </w:r>
    </w:p>
    <w:p>
      <w:pPr/>
      <w:r>
        <w:rPr>
          <w:i w:val="0"/>
        </w:rPr>
        <w:t>The procedure depends upon Divine intervention. Dust and water are not presented as naturally reliable forensic chemicals.</w:t>
      </w:r>
    </w:p>
    <w:p>
      <w:pPr>
        <w:pStyle w:val="Heading2"/>
      </w:pPr>
      <w:r>
        <w:t>Numbers 5:29–31 — a regulated law, not private vengeance</w:t>
      </w:r>
    </w:p>
    <w:p>
      <w:pPr/>
      <w:r>
        <w:rPr>
          <w:i w:val="0"/>
        </w:rPr>
        <w:t>The chapter summarises the law of jealousies. The husband brings the case to the appointed process; the woman bears her iniquity if actually guilty.</w:t>
      </w:r>
    </w:p>
    <w:p>
      <w:pPr/>
      <w:r>
        <w:rPr>
          <w:i w:val="0"/>
        </w:rPr>
        <w:t>Mansfield notes that no narrative example of the procedure is recorded in Scripture. The law’s existence nevertheless places suspicion under public priestly regulation rather than uncontrolled domestic retaliation.</w:t>
      </w:r>
    </w:p>
    <w:p>
      <w:pPr>
        <w:pStyle w:val="Heading1"/>
      </w:pPr>
      <w:r>
        <w:t>PRINCIPAL THEMES</w:t>
      </w:r>
    </w:p>
    <w:p>
      <w:pPr>
        <w:ind w:left="259" w:hanging="202"/>
      </w:pPr>
      <w:r>
        <w:rPr>
          <w:b/>
        </w:rPr>
        <w:t xml:space="preserve">• </w:t>
      </w:r>
      <w:r>
        <w:t>Yahweh’s dwelling among Israel requires ceremonial and moral cleanliness.</w:t>
      </w:r>
    </w:p>
    <w:p>
      <w:pPr>
        <w:ind w:left="259" w:hanging="202"/>
      </w:pPr>
      <w:r>
        <w:rPr>
          <w:b/>
        </w:rPr>
        <w:t xml:space="preserve">• </w:t>
      </w:r>
      <w:r>
        <w:t>Nephesh can denote a dead person/corpse in ritual language and does not imply an immortal soul.</w:t>
      </w:r>
    </w:p>
    <w:p>
      <w:pPr>
        <w:ind w:left="259" w:hanging="202"/>
      </w:pPr>
      <w:r>
        <w:rPr>
          <w:b/>
        </w:rPr>
        <w:t xml:space="preserve">• </w:t>
      </w:r>
      <w:r>
        <w:t>Confession and restitution belong together; the principal is restored with an added fifth.</w:t>
      </w:r>
    </w:p>
    <w:p>
      <w:pPr>
        <w:ind w:left="259" w:hanging="202"/>
      </w:pPr>
      <w:r>
        <w:rPr>
          <w:b/>
        </w:rPr>
        <w:t xml:space="preserve">• </w:t>
      </w:r>
      <w:r>
        <w:t>Suspected adultery without witnesses is transferred to a controlled priestly process rather than private punishment.</w:t>
      </w:r>
    </w:p>
    <w:p>
      <w:pPr>
        <w:ind w:left="259" w:hanging="202"/>
      </w:pPr>
      <w:r>
        <w:rPr>
          <w:b/>
        </w:rPr>
        <w:t xml:space="preserve">• </w:t>
      </w:r>
      <w:r>
        <w:t>The jealousy law explicitly provides for the possibility that the woman is innocent.</w:t>
      </w:r>
    </w:p>
    <w:p>
      <w:pPr>
        <w:ind w:left="259" w:hanging="202"/>
      </w:pPr>
      <w:r>
        <w:rPr>
          <w:b/>
        </w:rPr>
        <w:t xml:space="preserve">• </w:t>
      </w:r>
      <w:r>
        <w:t>The exact physiological meaning of the curse language is uncertain and should not be over-diagnosed.</w:t>
      </w:r>
    </w:p>
    <w:p>
      <w:pPr>
        <w:ind w:left="259" w:hanging="202"/>
      </w:pPr>
      <w:r>
        <w:rPr>
          <w:b/>
        </w:rPr>
        <w:t xml:space="preserve">• </w:t>
      </w:r>
      <w:r>
        <w:t>Mansfield’s claim that the woman necessarily contributed to her husband’s jealousy by deficient affection goes beyond the text and is not retained as fact.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5:2</w:t>
            </w:r>
          </w:p>
        </w:tc>
        <w:tc>
          <w:tcPr>
            <w:tcW w:type="dxa" w:w="3561"/>
            <w:vAlign w:val="top"/>
          </w:tcPr>
          <w:p>
            <w:pPr>
              <w:spacing w:after="0"/>
            </w:pPr>
            <w:r>
              <w:rPr>
                <w:rFonts w:ascii="Times New Roman" w:hAnsi="Times New Roman"/>
                <w:sz w:val="14"/>
              </w:rPr>
              <w:t>tsara‘at / discharge / dead-person defilement</w:t>
            </w:r>
          </w:p>
        </w:tc>
        <w:tc>
          <w:tcPr>
            <w:tcW w:type="dxa" w:w="3561"/>
            <w:vAlign w:val="top"/>
          </w:tcPr>
          <w:p>
            <w:pPr>
              <w:spacing w:after="0"/>
            </w:pPr>
            <w:r>
              <w:rPr>
                <w:rFonts w:ascii="Times New Roman" w:hAnsi="Times New Roman"/>
                <w:sz w:val="14"/>
              </w:rPr>
              <w:t>Three ritual exclusions corresponding to Levitical purity laws.</w:t>
            </w:r>
          </w:p>
        </w:tc>
      </w:tr>
      <w:tr>
        <w:tc>
          <w:tcPr>
            <w:tcW w:type="dxa" w:w="3561"/>
            <w:vAlign w:val="top"/>
          </w:tcPr>
          <w:p>
            <w:pPr>
              <w:spacing w:after="0"/>
            </w:pPr>
            <w:r>
              <w:rPr>
                <w:rFonts w:ascii="Times New Roman" w:hAnsi="Times New Roman"/>
                <w:sz w:val="14"/>
              </w:rPr>
              <w:t>Num. 5:2</w:t>
            </w:r>
          </w:p>
        </w:tc>
        <w:tc>
          <w:tcPr>
            <w:tcW w:type="dxa" w:w="3561"/>
            <w:vAlign w:val="top"/>
          </w:tcPr>
          <w:p>
            <w:pPr>
              <w:spacing w:after="0"/>
            </w:pPr>
            <w:r>
              <w:rPr>
                <w:rFonts w:ascii="Times New Roman" w:hAnsi="Times New Roman"/>
                <w:sz w:val="14"/>
              </w:rPr>
              <w:t>nephesh in death context</w:t>
            </w:r>
          </w:p>
        </w:tc>
        <w:tc>
          <w:tcPr>
            <w:tcW w:type="dxa" w:w="3561"/>
            <w:vAlign w:val="top"/>
          </w:tcPr>
          <w:p>
            <w:pPr>
              <w:spacing w:after="0"/>
            </w:pPr>
            <w:r>
              <w:rPr>
                <w:rFonts w:ascii="Times New Roman" w:hAnsi="Times New Roman"/>
                <w:sz w:val="14"/>
              </w:rPr>
              <w:t>Dead person/corpse; not immortal-soul language.</w:t>
            </w:r>
          </w:p>
        </w:tc>
      </w:tr>
      <w:tr>
        <w:tc>
          <w:tcPr>
            <w:tcW w:type="dxa" w:w="3561"/>
            <w:vAlign w:val="top"/>
          </w:tcPr>
          <w:p>
            <w:pPr>
              <w:spacing w:after="0"/>
            </w:pPr>
            <w:r>
              <w:rPr>
                <w:rFonts w:ascii="Times New Roman" w:hAnsi="Times New Roman"/>
                <w:sz w:val="14"/>
              </w:rPr>
              <w:t>Num. 5:3</w:t>
            </w:r>
          </w:p>
        </w:tc>
        <w:tc>
          <w:tcPr>
            <w:tcW w:type="dxa" w:w="3561"/>
            <w:vAlign w:val="top"/>
          </w:tcPr>
          <w:p>
            <w:pPr>
              <w:spacing w:after="0"/>
            </w:pPr>
            <w:r>
              <w:rPr>
                <w:rFonts w:ascii="Times New Roman" w:hAnsi="Times New Roman"/>
                <w:sz w:val="14"/>
              </w:rPr>
              <w:t>male and female</w:t>
            </w:r>
          </w:p>
        </w:tc>
        <w:tc>
          <w:tcPr>
            <w:tcW w:type="dxa" w:w="3561"/>
            <w:vAlign w:val="top"/>
          </w:tcPr>
          <w:p>
            <w:pPr>
              <w:spacing w:after="0"/>
            </w:pPr>
            <w:r>
              <w:rPr>
                <w:rFonts w:ascii="Times New Roman" w:hAnsi="Times New Roman"/>
                <w:sz w:val="14"/>
              </w:rPr>
              <w:t>Equal ritual application.</w:t>
            </w:r>
          </w:p>
        </w:tc>
      </w:tr>
      <w:tr>
        <w:tc>
          <w:tcPr>
            <w:tcW w:type="dxa" w:w="3561"/>
            <w:vAlign w:val="top"/>
          </w:tcPr>
          <w:p>
            <w:pPr>
              <w:spacing w:after="0"/>
            </w:pPr>
            <w:r>
              <w:rPr>
                <w:rFonts w:ascii="Times New Roman" w:hAnsi="Times New Roman"/>
                <w:sz w:val="14"/>
              </w:rPr>
              <w:t>Num. 5:6</w:t>
            </w:r>
          </w:p>
        </w:tc>
        <w:tc>
          <w:tcPr>
            <w:tcW w:type="dxa" w:w="3561"/>
            <w:vAlign w:val="top"/>
          </w:tcPr>
          <w:p>
            <w:pPr>
              <w:spacing w:after="0"/>
            </w:pPr>
            <w:r>
              <w:rPr>
                <w:rFonts w:ascii="Times New Roman" w:hAnsi="Times New Roman"/>
                <w:sz w:val="14"/>
              </w:rPr>
              <w:t>ma‘al</w:t>
            </w:r>
          </w:p>
        </w:tc>
        <w:tc>
          <w:tcPr>
            <w:tcW w:type="dxa" w:w="3561"/>
            <w:vAlign w:val="top"/>
          </w:tcPr>
          <w:p>
            <w:pPr>
              <w:spacing w:after="0"/>
            </w:pPr>
            <w:r>
              <w:rPr>
                <w:rFonts w:ascii="Times New Roman" w:hAnsi="Times New Roman"/>
                <w:sz w:val="14"/>
              </w:rPr>
              <w:t>Trespass/unfaithfulness toward Yahweh expressed through human wrong.</w:t>
            </w:r>
          </w:p>
        </w:tc>
      </w:tr>
      <w:tr>
        <w:tc>
          <w:tcPr>
            <w:tcW w:type="dxa" w:w="3561"/>
            <w:vAlign w:val="top"/>
          </w:tcPr>
          <w:p>
            <w:pPr>
              <w:spacing w:after="0"/>
            </w:pPr>
            <w:r>
              <w:rPr>
                <w:rFonts w:ascii="Times New Roman" w:hAnsi="Times New Roman"/>
                <w:sz w:val="14"/>
              </w:rPr>
              <w:t>Num. 5:7</w:t>
            </w:r>
          </w:p>
        </w:tc>
        <w:tc>
          <w:tcPr>
            <w:tcW w:type="dxa" w:w="3561"/>
            <w:vAlign w:val="top"/>
          </w:tcPr>
          <w:p>
            <w:pPr>
              <w:spacing w:after="0"/>
            </w:pPr>
            <w:r>
              <w:rPr>
                <w:rFonts w:ascii="Times New Roman" w:hAnsi="Times New Roman"/>
                <w:sz w:val="14"/>
              </w:rPr>
              <w:t>confess + principal + fifth</w:t>
            </w:r>
          </w:p>
        </w:tc>
        <w:tc>
          <w:tcPr>
            <w:tcW w:type="dxa" w:w="3561"/>
            <w:vAlign w:val="top"/>
          </w:tcPr>
          <w:p>
            <w:pPr>
              <w:spacing w:after="0"/>
            </w:pPr>
            <w:r>
              <w:rPr>
                <w:rFonts w:ascii="Times New Roman" w:hAnsi="Times New Roman"/>
                <w:sz w:val="14"/>
              </w:rPr>
              <w:t>Restitution plus 20 percent.</w:t>
            </w:r>
          </w:p>
        </w:tc>
      </w:tr>
      <w:tr>
        <w:tc>
          <w:tcPr>
            <w:tcW w:type="dxa" w:w="3561"/>
            <w:vAlign w:val="top"/>
          </w:tcPr>
          <w:p>
            <w:pPr>
              <w:spacing w:after="0"/>
            </w:pPr>
            <w:r>
              <w:rPr>
                <w:rFonts w:ascii="Times New Roman" w:hAnsi="Times New Roman"/>
                <w:sz w:val="14"/>
              </w:rPr>
              <w:t>Num. 5:8</w:t>
            </w:r>
          </w:p>
        </w:tc>
        <w:tc>
          <w:tcPr>
            <w:tcW w:type="dxa" w:w="3561"/>
            <w:vAlign w:val="top"/>
          </w:tcPr>
          <w:p>
            <w:pPr>
              <w:spacing w:after="0"/>
            </w:pPr>
            <w:r>
              <w:rPr>
                <w:rFonts w:ascii="Times New Roman" w:hAnsi="Times New Roman"/>
                <w:sz w:val="14"/>
              </w:rPr>
              <w:t>go’el</w:t>
            </w:r>
          </w:p>
        </w:tc>
        <w:tc>
          <w:tcPr>
            <w:tcW w:type="dxa" w:w="3561"/>
            <w:vAlign w:val="top"/>
          </w:tcPr>
          <w:p>
            <w:pPr>
              <w:spacing w:after="0"/>
            </w:pPr>
            <w:r>
              <w:rPr>
                <w:rFonts w:ascii="Times New Roman" w:hAnsi="Times New Roman"/>
                <w:sz w:val="14"/>
              </w:rPr>
              <w:t>Kinsman entitled to receive repayment if available.</w:t>
            </w:r>
          </w:p>
        </w:tc>
      </w:tr>
      <w:tr>
        <w:tc>
          <w:tcPr>
            <w:tcW w:type="dxa" w:w="3561"/>
            <w:vAlign w:val="top"/>
          </w:tcPr>
          <w:p>
            <w:pPr>
              <w:spacing w:after="0"/>
            </w:pPr>
            <w:r>
              <w:rPr>
                <w:rFonts w:ascii="Times New Roman" w:hAnsi="Times New Roman"/>
                <w:sz w:val="14"/>
              </w:rPr>
              <w:t>Num. 5:9</w:t>
            </w:r>
          </w:p>
        </w:tc>
        <w:tc>
          <w:tcPr>
            <w:tcW w:type="dxa" w:w="3561"/>
            <w:vAlign w:val="top"/>
          </w:tcPr>
          <w:p>
            <w:pPr>
              <w:spacing w:after="0"/>
            </w:pPr>
            <w:r>
              <w:rPr>
                <w:rFonts w:ascii="Times New Roman" w:hAnsi="Times New Roman"/>
                <w:sz w:val="14"/>
              </w:rPr>
              <w:t>terumah</w:t>
            </w:r>
          </w:p>
        </w:tc>
        <w:tc>
          <w:tcPr>
            <w:tcW w:type="dxa" w:w="3561"/>
            <w:vAlign w:val="top"/>
          </w:tcPr>
          <w:p>
            <w:pPr>
              <w:spacing w:after="0"/>
            </w:pPr>
            <w:r>
              <w:rPr>
                <w:rFonts w:ascii="Times New Roman" w:hAnsi="Times New Roman"/>
                <w:sz w:val="14"/>
              </w:rPr>
              <w:t>Contribution/heave portion assigned to priest.</w:t>
            </w:r>
          </w:p>
        </w:tc>
      </w:tr>
      <w:tr>
        <w:tc>
          <w:tcPr>
            <w:tcW w:type="dxa" w:w="3561"/>
            <w:vAlign w:val="top"/>
          </w:tcPr>
          <w:p>
            <w:pPr>
              <w:spacing w:after="0"/>
            </w:pPr>
            <w:r>
              <w:rPr>
                <w:rFonts w:ascii="Times New Roman" w:hAnsi="Times New Roman"/>
                <w:sz w:val="14"/>
              </w:rPr>
              <w:t>Num. 5:14</w:t>
            </w:r>
          </w:p>
        </w:tc>
        <w:tc>
          <w:tcPr>
            <w:tcW w:type="dxa" w:w="3561"/>
            <w:vAlign w:val="top"/>
          </w:tcPr>
          <w:p>
            <w:pPr>
              <w:spacing w:after="0"/>
            </w:pPr>
            <w:r>
              <w:rPr>
                <w:rFonts w:ascii="Times New Roman" w:hAnsi="Times New Roman"/>
                <w:sz w:val="14"/>
              </w:rPr>
              <w:t>ruach qin’ah</w:t>
            </w:r>
          </w:p>
        </w:tc>
        <w:tc>
          <w:tcPr>
            <w:tcW w:type="dxa" w:w="3561"/>
            <w:vAlign w:val="top"/>
          </w:tcPr>
          <w:p>
            <w:pPr>
              <w:spacing w:after="0"/>
            </w:pPr>
            <w:r>
              <w:rPr>
                <w:rFonts w:ascii="Times New Roman" w:hAnsi="Times New Roman"/>
                <w:sz w:val="14"/>
              </w:rPr>
              <w:t>Spirit/impulse of jealousy; may arise whether wife guilty or innocent.</w:t>
            </w:r>
          </w:p>
        </w:tc>
      </w:tr>
      <w:tr>
        <w:tc>
          <w:tcPr>
            <w:tcW w:type="dxa" w:w="3561"/>
            <w:vAlign w:val="top"/>
          </w:tcPr>
          <w:p>
            <w:pPr>
              <w:spacing w:after="0"/>
            </w:pPr>
            <w:r>
              <w:rPr>
                <w:rFonts w:ascii="Times New Roman" w:hAnsi="Times New Roman"/>
                <w:sz w:val="14"/>
              </w:rPr>
              <w:t>Num. 5:15</w:t>
            </w:r>
          </w:p>
        </w:tc>
        <w:tc>
          <w:tcPr>
            <w:tcW w:type="dxa" w:w="3561"/>
            <w:vAlign w:val="top"/>
          </w:tcPr>
          <w:p>
            <w:pPr>
              <w:spacing w:after="0"/>
            </w:pPr>
            <w:r>
              <w:rPr>
                <w:rFonts w:ascii="Times New Roman" w:hAnsi="Times New Roman"/>
                <w:sz w:val="14"/>
              </w:rPr>
              <w:t>barley; no oil/frankincense</w:t>
            </w:r>
          </w:p>
        </w:tc>
        <w:tc>
          <w:tcPr>
            <w:tcW w:type="dxa" w:w="3561"/>
            <w:vAlign w:val="top"/>
          </w:tcPr>
          <w:p>
            <w:pPr>
              <w:spacing w:after="0"/>
            </w:pPr>
            <w:r>
              <w:rPr>
                <w:rFonts w:ascii="Times New Roman" w:hAnsi="Times New Roman"/>
                <w:sz w:val="14"/>
              </w:rPr>
              <w:t>Literal ordeal offering; symbolic reasons not explicitly stated.</w:t>
            </w:r>
          </w:p>
        </w:tc>
      </w:tr>
      <w:tr>
        <w:tc>
          <w:tcPr>
            <w:tcW w:type="dxa" w:w="3561"/>
            <w:vAlign w:val="top"/>
          </w:tcPr>
          <w:p>
            <w:pPr>
              <w:spacing w:after="0"/>
            </w:pPr>
            <w:r>
              <w:rPr>
                <w:rFonts w:ascii="Times New Roman" w:hAnsi="Times New Roman"/>
                <w:sz w:val="14"/>
              </w:rPr>
              <w:t>Num. 5:18</w:t>
            </w:r>
          </w:p>
        </w:tc>
        <w:tc>
          <w:tcPr>
            <w:tcW w:type="dxa" w:w="3561"/>
            <w:vAlign w:val="top"/>
          </w:tcPr>
          <w:p>
            <w:pPr>
              <w:spacing w:after="0"/>
            </w:pPr>
            <w:r>
              <w:rPr>
                <w:rFonts w:ascii="Times New Roman" w:hAnsi="Times New Roman"/>
                <w:sz w:val="14"/>
              </w:rPr>
              <w:t>para‘ the head</w:t>
            </w:r>
          </w:p>
        </w:tc>
        <w:tc>
          <w:tcPr>
            <w:tcW w:type="dxa" w:w="3561"/>
            <w:vAlign w:val="top"/>
          </w:tcPr>
          <w:p>
            <w:pPr>
              <w:spacing w:after="0"/>
            </w:pPr>
            <w:r>
              <w:rPr>
                <w:rFonts w:ascii="Times New Roman" w:hAnsi="Times New Roman"/>
                <w:sz w:val="14"/>
              </w:rPr>
              <w:t>Likely loosen/dishevel hair; KJV “uncover” is not the only possible nuance.</w:t>
            </w:r>
          </w:p>
        </w:tc>
      </w:tr>
      <w:tr>
        <w:tc>
          <w:tcPr>
            <w:tcW w:type="dxa" w:w="3561"/>
            <w:vAlign w:val="top"/>
          </w:tcPr>
          <w:p>
            <w:pPr>
              <w:spacing w:after="0"/>
            </w:pPr>
            <w:r>
              <w:rPr>
                <w:rFonts w:ascii="Times New Roman" w:hAnsi="Times New Roman"/>
                <w:sz w:val="14"/>
              </w:rPr>
              <w:t>Num. 5:19</w:t>
            </w:r>
          </w:p>
        </w:tc>
        <w:tc>
          <w:tcPr>
            <w:tcW w:type="dxa" w:w="3561"/>
            <w:vAlign w:val="top"/>
          </w:tcPr>
          <w:p>
            <w:pPr>
              <w:spacing w:after="0"/>
            </w:pPr>
            <w:r>
              <w:rPr>
                <w:rFonts w:ascii="Times New Roman" w:hAnsi="Times New Roman"/>
                <w:sz w:val="14"/>
              </w:rPr>
              <w:t>innocence condition first</w:t>
            </w:r>
          </w:p>
        </w:tc>
        <w:tc>
          <w:tcPr>
            <w:tcW w:type="dxa" w:w="3561"/>
            <w:vAlign w:val="top"/>
          </w:tcPr>
          <w:p>
            <w:pPr>
              <w:spacing w:after="0"/>
            </w:pPr>
            <w:r>
              <w:rPr>
                <w:rFonts w:ascii="Times New Roman" w:hAnsi="Times New Roman"/>
                <w:sz w:val="14"/>
              </w:rPr>
              <w:t>The oath begins with acquittal if no adultery occurred.</w:t>
            </w:r>
          </w:p>
        </w:tc>
      </w:tr>
      <w:tr>
        <w:tc>
          <w:tcPr>
            <w:tcW w:type="dxa" w:w="3561"/>
            <w:vAlign w:val="top"/>
          </w:tcPr>
          <w:p>
            <w:pPr>
              <w:spacing w:after="0"/>
            </w:pPr>
            <w:r>
              <w:rPr>
                <w:rFonts w:ascii="Times New Roman" w:hAnsi="Times New Roman"/>
                <w:sz w:val="14"/>
              </w:rPr>
              <w:t>Num. 5:21–22</w:t>
            </w:r>
          </w:p>
        </w:tc>
        <w:tc>
          <w:tcPr>
            <w:tcW w:type="dxa" w:w="3561"/>
            <w:vAlign w:val="top"/>
          </w:tcPr>
          <w:p>
            <w:pPr>
              <w:spacing w:after="0"/>
            </w:pPr>
            <w:r>
              <w:rPr>
                <w:rFonts w:ascii="Times New Roman" w:hAnsi="Times New Roman"/>
                <w:sz w:val="14"/>
              </w:rPr>
              <w:t>belly/thigh curse</w:t>
            </w:r>
          </w:p>
        </w:tc>
        <w:tc>
          <w:tcPr>
            <w:tcW w:type="dxa" w:w="3561"/>
            <w:vAlign w:val="top"/>
          </w:tcPr>
          <w:p>
            <w:pPr>
              <w:spacing w:after="0"/>
            </w:pPr>
            <w:r>
              <w:rPr>
                <w:rFonts w:ascii="Times New Roman" w:hAnsi="Times New Roman"/>
                <w:sz w:val="14"/>
              </w:rPr>
              <w:t>Reproductive/bodily judgment; exact pathology uncertain.</w:t>
            </w:r>
          </w:p>
        </w:tc>
      </w:tr>
      <w:tr>
        <w:tc>
          <w:tcPr>
            <w:tcW w:type="dxa" w:w="3561"/>
            <w:vAlign w:val="top"/>
          </w:tcPr>
          <w:p>
            <w:pPr>
              <w:spacing w:after="0"/>
            </w:pPr>
            <w:r>
              <w:rPr>
                <w:rFonts w:ascii="Times New Roman" w:hAnsi="Times New Roman"/>
                <w:sz w:val="14"/>
              </w:rPr>
              <w:t>Num. 5:23</w:t>
            </w:r>
          </w:p>
        </w:tc>
        <w:tc>
          <w:tcPr>
            <w:tcW w:type="dxa" w:w="3561"/>
            <w:vAlign w:val="top"/>
          </w:tcPr>
          <w:p>
            <w:pPr>
              <w:spacing w:after="0"/>
            </w:pPr>
            <w:r>
              <w:rPr>
                <w:rFonts w:ascii="Times New Roman" w:hAnsi="Times New Roman"/>
                <w:sz w:val="14"/>
              </w:rPr>
              <w:t>curse writing wiped into water</w:t>
            </w:r>
          </w:p>
        </w:tc>
        <w:tc>
          <w:tcPr>
            <w:tcW w:type="dxa" w:w="3561"/>
            <w:vAlign w:val="top"/>
          </w:tcPr>
          <w:p>
            <w:pPr>
              <w:spacing w:after="0"/>
            </w:pPr>
            <w:r>
              <w:rPr>
                <w:rFonts w:ascii="Times New Roman" w:hAnsi="Times New Roman"/>
                <w:sz w:val="14"/>
              </w:rPr>
              <w:t>Written words incorporated into ordeal.</w:t>
            </w:r>
          </w:p>
        </w:tc>
      </w:tr>
      <w:tr>
        <w:tc>
          <w:tcPr>
            <w:tcW w:type="dxa" w:w="3561"/>
            <w:vAlign w:val="top"/>
          </w:tcPr>
          <w:p>
            <w:pPr>
              <w:spacing w:after="0"/>
            </w:pPr>
            <w:r>
              <w:rPr>
                <w:rFonts w:ascii="Times New Roman" w:hAnsi="Times New Roman"/>
                <w:sz w:val="14"/>
              </w:rPr>
              <w:t>Num. 5:28</w:t>
            </w:r>
          </w:p>
        </w:tc>
        <w:tc>
          <w:tcPr>
            <w:tcW w:type="dxa" w:w="3561"/>
            <w:vAlign w:val="top"/>
          </w:tcPr>
          <w:p>
            <w:pPr>
              <w:spacing w:after="0"/>
            </w:pPr>
            <w:r>
              <w:rPr>
                <w:rFonts w:ascii="Times New Roman" w:hAnsi="Times New Roman"/>
                <w:sz w:val="14"/>
              </w:rPr>
              <w:t>“conceive seed”</w:t>
            </w:r>
          </w:p>
        </w:tc>
        <w:tc>
          <w:tcPr>
            <w:tcW w:type="dxa" w:w="3561"/>
            <w:vAlign w:val="top"/>
          </w:tcPr>
          <w:p>
            <w:pPr>
              <w:spacing w:after="0"/>
            </w:pPr>
            <w:r>
              <w:rPr>
                <w:rFonts w:ascii="Times New Roman" w:hAnsi="Times New Roman"/>
                <w:sz w:val="14"/>
              </w:rPr>
              <w:t>Continued/recovered fertility if innocent.</w:t>
            </w:r>
          </w:p>
        </w:tc>
      </w:tr>
      <w:tr>
        <w:tc>
          <w:tcPr>
            <w:tcW w:type="dxa" w:w="3561"/>
            <w:vAlign w:val="top"/>
          </w:tcPr>
          <w:p>
            <w:pPr>
              <w:spacing w:after="0"/>
            </w:pPr>
            <w:r>
              <w:rPr>
                <w:rFonts w:ascii="Times New Roman" w:hAnsi="Times New Roman"/>
                <w:sz w:val="14"/>
              </w:rPr>
              <w:t>Num. 5:31</w:t>
            </w:r>
          </w:p>
        </w:tc>
        <w:tc>
          <w:tcPr>
            <w:tcW w:type="dxa" w:w="3561"/>
            <w:vAlign w:val="top"/>
          </w:tcPr>
          <w:p>
            <w:pPr>
              <w:spacing w:after="0"/>
            </w:pPr>
            <w:r>
              <w:rPr>
                <w:rFonts w:ascii="Times New Roman" w:hAnsi="Times New Roman"/>
                <w:sz w:val="14"/>
              </w:rPr>
              <w:t>private vengeance not authorised</w:t>
            </w:r>
          </w:p>
        </w:tc>
        <w:tc>
          <w:tcPr>
            <w:tcW w:type="dxa" w:w="3561"/>
            <w:vAlign w:val="top"/>
          </w:tcPr>
          <w:p>
            <w:pPr>
              <w:spacing w:after="0"/>
            </w:pPr>
            <w:r>
              <w:rPr>
                <w:rFonts w:ascii="Times New Roman" w:hAnsi="Times New Roman"/>
                <w:sz w:val="14"/>
              </w:rPr>
              <w:t>Case must be processed under priestly covenant law.</w:t>
            </w:r>
          </w:p>
        </w:tc>
      </w:tr>
    </w:tbl>
    <w:p>
      <w:pPr>
        <w:pStyle w:val="Heading1"/>
      </w:pPr>
      <w:r>
        <w:t>RESIDUAL UNCERTAINTIES</w:t>
      </w:r>
    </w:p>
    <w:p>
      <w:pPr/>
      <w:r>
        <w:rPr>
          <w:i w:val="0"/>
        </w:rPr>
        <w:t>The precise physiology of the curse and the exact action denoted by para‘ in verse 18 remain uncertain. The text does not explain the natural chemistry of the water because the ordeal depends upon Yahweh’s judgment. Mansfield’s extended national/bride typology is useful as secondary exposition but is kept separate from what the marriage law literally states.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