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7</w:t>
      </w:r>
    </w:p>
    <w:p>
      <w:pPr>
        <w:pStyle w:val="Subtitle"/>
      </w:pPr>
      <w:r>
        <w:t>CO-OPERATING WITH YAHWEH • WAGONS AND OXEN • BURDENS ACCORDING TO SERVICE • KOHATH CARRIES ON THE SHOULDER • TWELVE IDENTICAL DEDICATION OFFERINGS • THE VOICE ABOVE THE KAPPORETH</w:t>
      </w:r>
    </w:p>
    <w:p>
      <w:pPr/>
      <w:r>
        <w:rPr>
          <w:i/>
        </w:rPr>
        <w:t>H. P. Mansfield Bible notes — checked and arranged in verse-by-verse Expositor style</w:t>
      </w:r>
    </w:p>
    <w:p>
      <w:pPr/>
      <w:r>
        <w:rPr>
          <w:i w:val="0"/>
        </w:rPr>
        <w:t>Source: HPB 03-Lev12-Num36.PDF, Numbers 7 annotated pages; cross-checked with Mansfield’s Numbers Expositor Chapter 7.</w:t>
      </w:r>
    </w:p>
    <w:p>
      <w:pPr>
        <w:pStyle w:val="Heading1"/>
      </w:pPr>
      <w:r>
        <w:t>CHAPTER OVERVIEW</w:t>
      </w:r>
    </w:p>
    <w:p>
      <w:pPr/>
      <w:r>
        <w:rPr>
          <w:i w:val="0"/>
        </w:rPr>
        <w:t>Numbers 7 records the tribal princes voluntarily supplying practical transport and then individually dedicating the altar with twelve identical offerings. Initiative is accepted when it supports rather than alters Yahweh’s appointed service.</w:t>
      </w:r>
    </w:p>
    <w:p>
      <w:pPr/>
      <w:r>
        <w:rPr>
          <w:i w:val="0"/>
        </w:rPr>
        <w:t>The chapter’s chronological placement is instructive: verse 1 looks back to the day Moses finished erecting and anointing the tabernacle, before the census date of Numbers 1:1. Numbers is therefore thematic as well as chronological.</w:t>
      </w:r>
    </w:p>
    <w:p>
      <w:pPr>
        <w:pStyle w:val="Heading1"/>
      </w:pPr>
      <w:r>
        <w:t>WAGONS AND OXEN FOR THE LEVITES — NUMBERS 7:1–9</w:t>
      </w:r>
    </w:p>
    <w:p>
      <w:pPr>
        <w:pStyle w:val="Heading2"/>
      </w:pPr>
      <w:r>
        <w:t>Numbers 7:1 — a flashback to tabernacle completion</w:t>
      </w:r>
    </w:p>
    <w:p>
      <w:pPr/>
      <w:r>
        <w:rPr>
          <w:i w:val="0"/>
        </w:rPr>
        <w:t>When Moses finishes setting up, anointing and sanctifying the tabernacle and its furniture, the princes bring their gifts.</w:t>
      </w:r>
    </w:p>
    <w:p>
      <w:pPr/>
      <w:r>
        <w:rPr>
          <w:i w:val="0"/>
        </w:rPr>
        <w:t>Because Exodus 40:17 places erection on the first day of the first month while Numbers 1:1 is the first day of the second month, this chapter confirms that Numbers is not arranged in strict event sequence.</w:t>
      </w:r>
    </w:p>
    <w:p>
      <w:pPr>
        <w:pStyle w:val="Heading2"/>
      </w:pPr>
      <w:r>
        <w:t>Numbers 7:2–3 — six tsav wagons and twelve oxen</w:t>
      </w:r>
    </w:p>
    <w:p>
      <w:pPr/>
      <w:r>
        <w:rPr>
          <w:i w:val="0"/>
        </w:rPr>
        <w:t>The twelve princes bring six wagons, one wagon for each pair of princes, and one ox from each prince. KJV calls the wagons “covered.” The rare Hebrew tsav is uncertain enough that exact construction should not be asserted.</w:t>
      </w:r>
    </w:p>
    <w:p>
      <w:pPr/>
      <w:r>
        <w:rPr>
          <w:i w:val="0"/>
        </w:rPr>
        <w:t>The important feature is practical transport provision, not a symbolic certainty about wagon design.</w:t>
      </w:r>
    </w:p>
    <w:p>
      <w:pPr>
        <w:pStyle w:val="Heading2"/>
      </w:pPr>
      <w:r>
        <w:t>Numbers 7:4–8 — resources allocated according to actual burden</w:t>
      </w:r>
    </w:p>
    <w:p>
      <w:pPr/>
      <w:r>
        <w:rPr>
          <w:i w:val="0"/>
        </w:rPr>
        <w:t>Yahweh accepts the voluntary initiative. Gershon receives two wagons and four oxen for coverings and hangings; Merari receives four wagons and eight oxen for the much heavier structural materials. Both assignments are under Ithamar.</w:t>
      </w:r>
    </w:p>
    <w:p>
      <w:pPr/>
      <w:r>
        <w:rPr>
          <w:i w:val="0"/>
        </w:rPr>
        <w:t>Equal holiness does not require identical equipment. Resources are distributed according to the work Yahweh has actually assigned.</w:t>
      </w:r>
    </w:p>
    <w:p>
      <w:pPr>
        <w:pStyle w:val="Heading2"/>
      </w:pPr>
      <w:r>
        <w:t>Numbers 7:9 — Kohath receives no wagon</w:t>
      </w:r>
    </w:p>
    <w:p>
      <w:pPr/>
      <w:r>
        <w:rPr>
          <w:i w:val="0"/>
        </w:rPr>
        <w:t>Kohath receives none because “the service of the sanctuary belonging unto them was that they should bear upon their shoulders.” Holy furniture must be carried by the God-appointed method.</w:t>
      </w:r>
    </w:p>
    <w:p>
      <w:pPr/>
      <w:r>
        <w:rPr>
          <w:i w:val="0"/>
        </w:rPr>
        <w:t>This principle later illuminates David’s initial error in moving the ark on a cart and his correction in 1 Chronicles 15:13–15.</w:t>
      </w:r>
    </w:p>
    <w:p>
      <w:pPr>
        <w:pStyle w:val="Heading1"/>
      </w:pPr>
      <w:r>
        <w:t>TWELVE DAYS OF ALTAR DEDICATION — NUMBERS 7:10–83</w:t>
      </w:r>
    </w:p>
    <w:p>
      <w:pPr>
        <w:pStyle w:val="Heading2"/>
      </w:pPr>
      <w:r>
        <w:t>Numbers 7:10–11 — one prince each day</w:t>
      </w:r>
    </w:p>
    <w:p>
      <w:pPr/>
      <w:r>
        <w:rPr>
          <w:i w:val="0"/>
        </w:rPr>
        <w:t>The princes present dedication offerings before the altar. Yahweh directs that each prince has his own day.</w:t>
      </w:r>
    </w:p>
    <w:p>
      <w:pPr/>
      <w:r>
        <w:rPr>
          <w:i w:val="0"/>
        </w:rPr>
        <w:t>The identical gifts are not compressed into one anonymous total; every tribal giver is individually named and recorded.</w:t>
      </w:r>
    </w:p>
    <w:p>
      <w:pPr>
        <w:pStyle w:val="Heading2"/>
      </w:pPr>
      <w:r>
        <w:t>Numbers 7:12–17 — Judah establishes the repeated pattern</w:t>
      </w:r>
    </w:p>
    <w:p>
      <w:pPr/>
      <w:r>
        <w:rPr>
          <w:i w:val="0"/>
        </w:rPr>
        <w:t>Each prince brings a silver qe‘arah, platter/dish, of 130 shekels; a silver mizraq, bowl/basin, of 70 shekels; both filled with fine flour mixed with oil for a grain offering; and a gold kaph, small pan/spoon/dish, of ten shekels filled with incense.</w:t>
      </w:r>
    </w:p>
    <w:p>
      <w:pPr/>
      <w:r>
        <w:rPr>
          <w:i w:val="0"/>
        </w:rPr>
        <w:t>Animal offerings are one bull, one ram and one year-old male lamb for burnt offering; one male goat for sin offering; and two bulls, five rams, five male goats and five year-old male lambs for peace offerings.</w:t>
      </w:r>
    </w:p>
    <w:p>
      <w:pPr/>
      <w:r>
        <w:rPr>
          <w:i w:val="0"/>
        </w:rPr>
        <w:t>KJV “charger,” “bowl” and “spoon” are traditional utensil names; exact modern vessel shapes should not be treated as certain.</w:t>
      </w:r>
    </w:p>
    <w:p>
      <w:pPr>
        <w:pStyle w:val="Heading2"/>
      </w:pPr>
      <w:r>
        <w:t>Numbers 7:18–83 — equality without loss of identity</w:t>
      </w:r>
    </w:p>
    <w:p>
      <w:pPr/>
      <w:r>
        <w:rPr>
          <w:i w:val="0"/>
        </w:rPr>
        <w:t>Each remaining prince brings exactly the same gift, though each tribe and leader is separately named. No tribe establishes superior approach through a larger contribution.</w:t>
      </w:r>
    </w:p>
    <w:p>
      <w:pPr/>
      <w:r>
        <w:rPr>
          <w:i w:val="0"/>
        </w:rPr>
        <w:t>Mansfield’s elaborate numerical symbolism attached to 130, 70, 10 and other totals is interpretive and should not be mistaken for the lexical meaning of the numbers.</w:t>
      </w:r>
    </w:p>
    <w:p>
      <w:pPr>
        <w:pStyle w:val="Heading1"/>
      </w:pPr>
      <w:r>
        <w:t>THE TOTALS — NUMBERS 7:84–88</w:t>
      </w:r>
    </w:p>
    <w:p>
      <w:pPr>
        <w:pStyle w:val="Heading2"/>
      </w:pPr>
      <w:r>
        <w:t>Numbers 7:84–86 — metal vessels totalled</w:t>
      </w:r>
    </w:p>
    <w:p>
      <w:pPr/>
      <w:r>
        <w:rPr>
          <w:i w:val="0"/>
        </w:rPr>
        <w:t>The twelve silver platters and bowls total 2,400 sanctuary shekels of silver, while the twelve gold incense vessels total 120 shekels of gold.</w:t>
      </w:r>
    </w:p>
    <w:p>
      <w:pPr/>
      <w:r>
        <w:rPr>
          <w:i w:val="0"/>
        </w:rPr>
        <w:t>Exact modern kilogram or currency equivalents depend on the assumed ancient shekel standard and are not needed for the chapter’s point.</w:t>
      </w:r>
    </w:p>
    <w:p>
      <w:pPr>
        <w:pStyle w:val="Heading2"/>
      </w:pPr>
      <w:r>
        <w:t>Numbers 7:87–88 — animal totals</w:t>
      </w:r>
    </w:p>
    <w:p>
      <w:pPr/>
      <w:r>
        <w:rPr>
          <w:i w:val="0"/>
        </w:rPr>
        <w:t>The burnt offerings total twelve bulls, twelve rams and twelve year-old lambs, with twelve male goats for sin offerings. Peace offerings total twenty-four bulls, sixty rams, sixty male goats and sixty year-old lambs.</w:t>
      </w:r>
    </w:p>
    <w:p>
      <w:pPr/>
      <w:r>
        <w:rPr>
          <w:i w:val="0"/>
        </w:rPr>
        <w:t>The totals show corporate unity while the preceding repetition preserves individual remembrance.</w:t>
      </w:r>
    </w:p>
    <w:p>
      <w:pPr>
        <w:pStyle w:val="Heading1"/>
      </w:pPr>
      <w:r>
        <w:t>THE VOICE FROM ABOVE THE KAPPORETH — NUMBERS 7:89</w:t>
      </w:r>
    </w:p>
    <w:p>
      <w:pPr>
        <w:pStyle w:val="Heading2"/>
      </w:pPr>
      <w:r>
        <w:t>Numbers 7:89 — dedication culminates in revelation</w:t>
      </w:r>
    </w:p>
    <w:p>
      <w:pPr/>
      <w:r>
        <w:rPr>
          <w:i w:val="0"/>
        </w:rPr>
        <w:t>When Moses enters the Tent of Meeting to speak with Yahweh, he hears the voice from above the kapporeth, the atonement-cover/mercy seat, between the two cherubim over the ark of testimony.</w:t>
      </w:r>
    </w:p>
    <w:p>
      <w:pPr/>
      <w:r>
        <w:rPr>
          <w:i w:val="0"/>
        </w:rPr>
        <w:t>The final blessing is not material efficiency but Divine communication through the appointed mediator.</w:t>
      </w:r>
    </w:p>
    <w:p>
      <w:pPr>
        <w:pStyle w:val="Heading1"/>
      </w:pPr>
      <w:r>
        <w:t>PRINCIPAL THEMES</w:t>
      </w:r>
    </w:p>
    <w:p>
      <w:pPr>
        <w:ind w:left="259" w:hanging="202"/>
      </w:pPr>
      <w:r>
        <w:rPr>
          <w:b/>
        </w:rPr>
        <w:t xml:space="preserve">• </w:t>
      </w:r>
      <w:r>
        <w:t>Numbers 7 is chronologically earlier than Numbers 1 and confirms thematic arrangement within the book.</w:t>
      </w:r>
    </w:p>
    <w:p>
      <w:pPr>
        <w:ind w:left="259" w:hanging="202"/>
      </w:pPr>
      <w:r>
        <w:rPr>
          <w:b/>
        </w:rPr>
        <w:t xml:space="preserve">• </w:t>
      </w:r>
      <w:r>
        <w:t>Voluntary initiative is accepted when it supports rather than supersedes revealed instructions.</w:t>
      </w:r>
    </w:p>
    <w:p>
      <w:pPr>
        <w:ind w:left="259" w:hanging="202"/>
      </w:pPr>
      <w:r>
        <w:rPr>
          <w:b/>
        </w:rPr>
        <w:t xml:space="preserve">• </w:t>
      </w:r>
      <w:r>
        <w:t>Resources are allocated according to burden: Gershon two wagons, Merari four, Kohath none.</w:t>
      </w:r>
    </w:p>
    <w:p>
      <w:pPr>
        <w:ind w:left="259" w:hanging="202"/>
      </w:pPr>
      <w:r>
        <w:rPr>
          <w:b/>
        </w:rPr>
        <w:t xml:space="preserve">• </w:t>
      </w:r>
      <w:r>
        <w:t>Kohath’s sacred objects remain shoulder-borne; a wagon would violate the appointed method.</w:t>
      </w:r>
    </w:p>
    <w:p>
      <w:pPr>
        <w:ind w:left="259" w:hanging="202"/>
      </w:pPr>
      <w:r>
        <w:rPr>
          <w:b/>
        </w:rPr>
        <w:t xml:space="preserve">• </w:t>
      </w:r>
      <w:r>
        <w:t>Every prince gives the same offering but is individually named and recorded.</w:t>
      </w:r>
    </w:p>
    <w:p>
      <w:pPr>
        <w:ind w:left="259" w:hanging="202"/>
      </w:pPr>
      <w:r>
        <w:rPr>
          <w:b/>
        </w:rPr>
        <w:t xml:space="preserve">• </w:t>
      </w:r>
      <w:r>
        <w:t>Traditional English utensil names do not fix exact ancient vessel shapes.</w:t>
      </w:r>
    </w:p>
    <w:p>
      <w:pPr>
        <w:ind w:left="259" w:hanging="202"/>
      </w:pPr>
      <w:r>
        <w:rPr>
          <w:b/>
        </w:rPr>
        <w:t xml:space="preserve">• </w:t>
      </w:r>
      <w:r>
        <w:t>Mansfield’s numerical symbolism is retained only as optional typology, not lexical fact.</w:t>
      </w:r>
    </w:p>
    <w:p>
      <w:pPr>
        <w:ind w:left="259" w:hanging="202"/>
      </w:pPr>
      <w:r>
        <w:rPr>
          <w:b/>
        </w:rPr>
        <w:t xml:space="preserve">• </w:t>
      </w:r>
      <w:r>
        <w:t>The chapter ends with Yahweh’s voice above the kapporeth between the cherubim.</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7:1</w:t>
            </w:r>
          </w:p>
        </w:tc>
        <w:tc>
          <w:tcPr>
            <w:tcW w:type="dxa" w:w="3561"/>
            <w:vAlign w:val="top"/>
          </w:tcPr>
          <w:p>
            <w:pPr>
              <w:spacing w:after="0"/>
            </w:pPr>
            <w:r>
              <w:rPr>
                <w:rFonts w:ascii="Times New Roman" w:hAnsi="Times New Roman"/>
                <w:sz w:val="14"/>
              </w:rPr>
              <w:t>tabernacle completion flashback</w:t>
            </w:r>
          </w:p>
        </w:tc>
        <w:tc>
          <w:tcPr>
            <w:tcW w:type="dxa" w:w="3561"/>
            <w:vAlign w:val="top"/>
          </w:tcPr>
          <w:p>
            <w:pPr>
              <w:spacing w:after="0"/>
            </w:pPr>
            <w:r>
              <w:rPr>
                <w:rFonts w:ascii="Times New Roman" w:hAnsi="Times New Roman"/>
                <w:sz w:val="14"/>
              </w:rPr>
              <w:t>Occurs before Num. 1:1 census date; demonstrates non-sequential arrangement.</w:t>
            </w:r>
          </w:p>
        </w:tc>
      </w:tr>
      <w:tr>
        <w:tc>
          <w:tcPr>
            <w:tcW w:type="dxa" w:w="3561"/>
            <w:vAlign w:val="top"/>
          </w:tcPr>
          <w:p>
            <w:pPr>
              <w:spacing w:after="0"/>
            </w:pPr>
            <w:r>
              <w:rPr>
                <w:rFonts w:ascii="Times New Roman" w:hAnsi="Times New Roman"/>
                <w:sz w:val="14"/>
              </w:rPr>
              <w:t>Num. 7:3</w:t>
            </w:r>
          </w:p>
        </w:tc>
        <w:tc>
          <w:tcPr>
            <w:tcW w:type="dxa" w:w="3561"/>
            <w:vAlign w:val="top"/>
          </w:tcPr>
          <w:p>
            <w:pPr>
              <w:spacing w:after="0"/>
            </w:pPr>
            <w:r>
              <w:rPr>
                <w:rFonts w:ascii="Times New Roman" w:hAnsi="Times New Roman"/>
                <w:sz w:val="14"/>
              </w:rPr>
              <w:t>tsav wagons</w:t>
            </w:r>
          </w:p>
        </w:tc>
        <w:tc>
          <w:tcPr>
            <w:tcW w:type="dxa" w:w="3561"/>
            <w:vAlign w:val="top"/>
          </w:tcPr>
          <w:p>
            <w:pPr>
              <w:spacing w:after="0"/>
            </w:pPr>
            <w:r>
              <w:rPr>
                <w:rFonts w:ascii="Times New Roman" w:hAnsi="Times New Roman"/>
                <w:sz w:val="14"/>
              </w:rPr>
              <w:t>KJV “covered”; rare term, exact construction uncertain.</w:t>
            </w:r>
          </w:p>
        </w:tc>
      </w:tr>
      <w:tr>
        <w:tc>
          <w:tcPr>
            <w:tcW w:type="dxa" w:w="3561"/>
            <w:vAlign w:val="top"/>
          </w:tcPr>
          <w:p>
            <w:pPr>
              <w:spacing w:after="0"/>
            </w:pPr>
            <w:r>
              <w:rPr>
                <w:rFonts w:ascii="Times New Roman" w:hAnsi="Times New Roman"/>
                <w:sz w:val="14"/>
              </w:rPr>
              <w:t>Num. 7:5</w:t>
            </w:r>
          </w:p>
        </w:tc>
        <w:tc>
          <w:tcPr>
            <w:tcW w:type="dxa" w:w="3561"/>
            <w:vAlign w:val="top"/>
          </w:tcPr>
          <w:p>
            <w:pPr>
              <w:spacing w:after="0"/>
            </w:pPr>
            <w:r>
              <w:rPr>
                <w:rFonts w:ascii="Times New Roman" w:hAnsi="Times New Roman"/>
                <w:sz w:val="14"/>
              </w:rPr>
              <w:t>according to service</w:t>
            </w:r>
          </w:p>
        </w:tc>
        <w:tc>
          <w:tcPr>
            <w:tcW w:type="dxa" w:w="3561"/>
            <w:vAlign w:val="top"/>
          </w:tcPr>
          <w:p>
            <w:pPr>
              <w:spacing w:after="0"/>
            </w:pPr>
            <w:r>
              <w:rPr>
                <w:rFonts w:ascii="Times New Roman" w:hAnsi="Times New Roman"/>
                <w:sz w:val="14"/>
              </w:rPr>
              <w:t>Equipment allocated by actual burden.</w:t>
            </w:r>
          </w:p>
        </w:tc>
      </w:tr>
      <w:tr>
        <w:tc>
          <w:tcPr>
            <w:tcW w:type="dxa" w:w="3561"/>
            <w:vAlign w:val="top"/>
          </w:tcPr>
          <w:p>
            <w:pPr>
              <w:spacing w:after="0"/>
            </w:pPr>
            <w:r>
              <w:rPr>
                <w:rFonts w:ascii="Times New Roman" w:hAnsi="Times New Roman"/>
                <w:sz w:val="14"/>
              </w:rPr>
              <w:t>Num. 7:7</w:t>
            </w:r>
          </w:p>
        </w:tc>
        <w:tc>
          <w:tcPr>
            <w:tcW w:type="dxa" w:w="3561"/>
            <w:vAlign w:val="top"/>
          </w:tcPr>
          <w:p>
            <w:pPr>
              <w:spacing w:after="0"/>
            </w:pPr>
            <w:r>
              <w:rPr>
                <w:rFonts w:ascii="Times New Roman" w:hAnsi="Times New Roman"/>
                <w:sz w:val="14"/>
              </w:rPr>
              <w:t>Gershon: 2 wagons / 4 oxen</w:t>
            </w:r>
          </w:p>
        </w:tc>
        <w:tc>
          <w:tcPr>
            <w:tcW w:type="dxa" w:w="3561"/>
            <w:vAlign w:val="top"/>
          </w:tcPr>
          <w:p>
            <w:pPr>
              <w:spacing w:after="0"/>
            </w:pPr>
            <w:r>
              <w:rPr>
                <w:rFonts w:ascii="Times New Roman" w:hAnsi="Times New Roman"/>
                <w:sz w:val="14"/>
              </w:rPr>
              <w:t>For coverings/hangings.</w:t>
            </w:r>
          </w:p>
        </w:tc>
      </w:tr>
      <w:tr>
        <w:tc>
          <w:tcPr>
            <w:tcW w:type="dxa" w:w="3561"/>
            <w:vAlign w:val="top"/>
          </w:tcPr>
          <w:p>
            <w:pPr>
              <w:spacing w:after="0"/>
            </w:pPr>
            <w:r>
              <w:rPr>
                <w:rFonts w:ascii="Times New Roman" w:hAnsi="Times New Roman"/>
                <w:sz w:val="14"/>
              </w:rPr>
              <w:t>Num. 7:8</w:t>
            </w:r>
          </w:p>
        </w:tc>
        <w:tc>
          <w:tcPr>
            <w:tcW w:type="dxa" w:w="3561"/>
            <w:vAlign w:val="top"/>
          </w:tcPr>
          <w:p>
            <w:pPr>
              <w:spacing w:after="0"/>
            </w:pPr>
            <w:r>
              <w:rPr>
                <w:rFonts w:ascii="Times New Roman" w:hAnsi="Times New Roman"/>
                <w:sz w:val="14"/>
              </w:rPr>
              <w:t>Merari: 4 wagons / 8 oxen</w:t>
            </w:r>
          </w:p>
        </w:tc>
        <w:tc>
          <w:tcPr>
            <w:tcW w:type="dxa" w:w="3561"/>
            <w:vAlign w:val="top"/>
          </w:tcPr>
          <w:p>
            <w:pPr>
              <w:spacing w:after="0"/>
            </w:pPr>
            <w:r>
              <w:rPr>
                <w:rFonts w:ascii="Times New Roman" w:hAnsi="Times New Roman"/>
                <w:sz w:val="14"/>
              </w:rPr>
              <w:t>For structural materials.</w:t>
            </w:r>
          </w:p>
        </w:tc>
      </w:tr>
      <w:tr>
        <w:tc>
          <w:tcPr>
            <w:tcW w:type="dxa" w:w="3561"/>
            <w:vAlign w:val="top"/>
          </w:tcPr>
          <w:p>
            <w:pPr>
              <w:spacing w:after="0"/>
            </w:pPr>
            <w:r>
              <w:rPr>
                <w:rFonts w:ascii="Times New Roman" w:hAnsi="Times New Roman"/>
                <w:sz w:val="14"/>
              </w:rPr>
              <w:t>Num. 7:9</w:t>
            </w:r>
          </w:p>
        </w:tc>
        <w:tc>
          <w:tcPr>
            <w:tcW w:type="dxa" w:w="3561"/>
            <w:vAlign w:val="top"/>
          </w:tcPr>
          <w:p>
            <w:pPr>
              <w:spacing w:after="0"/>
            </w:pPr>
            <w:r>
              <w:rPr>
                <w:rFonts w:ascii="Times New Roman" w:hAnsi="Times New Roman"/>
                <w:sz w:val="14"/>
              </w:rPr>
              <w:t>Kohath: none</w:t>
            </w:r>
          </w:p>
        </w:tc>
        <w:tc>
          <w:tcPr>
            <w:tcW w:type="dxa" w:w="3561"/>
            <w:vAlign w:val="top"/>
          </w:tcPr>
          <w:p>
            <w:pPr>
              <w:spacing w:after="0"/>
            </w:pPr>
            <w:r>
              <w:rPr>
                <w:rFonts w:ascii="Times New Roman" w:hAnsi="Times New Roman"/>
                <w:sz w:val="14"/>
              </w:rPr>
              <w:t>Holy furniture carried on shoulders.</w:t>
            </w:r>
          </w:p>
        </w:tc>
      </w:tr>
      <w:tr>
        <w:tc>
          <w:tcPr>
            <w:tcW w:type="dxa" w:w="3561"/>
            <w:vAlign w:val="top"/>
          </w:tcPr>
          <w:p>
            <w:pPr>
              <w:spacing w:after="0"/>
            </w:pPr>
            <w:r>
              <w:rPr>
                <w:rFonts w:ascii="Times New Roman" w:hAnsi="Times New Roman"/>
                <w:sz w:val="14"/>
              </w:rPr>
              <w:t>1 Chr. 15:13–15</w:t>
            </w:r>
          </w:p>
        </w:tc>
        <w:tc>
          <w:tcPr>
            <w:tcW w:type="dxa" w:w="3561"/>
            <w:vAlign w:val="top"/>
          </w:tcPr>
          <w:p>
            <w:pPr>
              <w:spacing w:after="0"/>
            </w:pPr>
            <w:r>
              <w:rPr>
                <w:rFonts w:ascii="Times New Roman" w:hAnsi="Times New Roman"/>
                <w:sz w:val="14"/>
              </w:rPr>
              <w:t>ark carried by Levites</w:t>
            </w:r>
          </w:p>
        </w:tc>
        <w:tc>
          <w:tcPr>
            <w:tcW w:type="dxa" w:w="3561"/>
            <w:vAlign w:val="top"/>
          </w:tcPr>
          <w:p>
            <w:pPr>
              <w:spacing w:after="0"/>
            </w:pPr>
            <w:r>
              <w:rPr>
                <w:rFonts w:ascii="Times New Roman" w:hAnsi="Times New Roman"/>
                <w:sz w:val="14"/>
              </w:rPr>
              <w:t>Later explicit correction after cart transport.</w:t>
            </w:r>
          </w:p>
        </w:tc>
      </w:tr>
      <w:tr>
        <w:tc>
          <w:tcPr>
            <w:tcW w:type="dxa" w:w="3561"/>
            <w:vAlign w:val="top"/>
          </w:tcPr>
          <w:p>
            <w:pPr>
              <w:spacing w:after="0"/>
            </w:pPr>
            <w:r>
              <w:rPr>
                <w:rFonts w:ascii="Times New Roman" w:hAnsi="Times New Roman"/>
                <w:sz w:val="14"/>
              </w:rPr>
              <w:t>Num. 7:13</w:t>
            </w:r>
          </w:p>
        </w:tc>
        <w:tc>
          <w:tcPr>
            <w:tcW w:type="dxa" w:w="3561"/>
            <w:vAlign w:val="top"/>
          </w:tcPr>
          <w:p>
            <w:pPr>
              <w:spacing w:after="0"/>
            </w:pPr>
            <w:r>
              <w:rPr>
                <w:rFonts w:ascii="Times New Roman" w:hAnsi="Times New Roman"/>
                <w:sz w:val="14"/>
              </w:rPr>
              <w:t>qe‘arah / mizraq</w:t>
            </w:r>
          </w:p>
        </w:tc>
        <w:tc>
          <w:tcPr>
            <w:tcW w:type="dxa" w:w="3561"/>
            <w:vAlign w:val="top"/>
          </w:tcPr>
          <w:p>
            <w:pPr>
              <w:spacing w:after="0"/>
            </w:pPr>
            <w:r>
              <w:rPr>
                <w:rFonts w:ascii="Times New Roman" w:hAnsi="Times New Roman"/>
                <w:sz w:val="14"/>
              </w:rPr>
              <w:t>Platter/dish / bowl-basin; exact shape uncertain.</w:t>
            </w:r>
          </w:p>
        </w:tc>
      </w:tr>
      <w:tr>
        <w:tc>
          <w:tcPr>
            <w:tcW w:type="dxa" w:w="3561"/>
            <w:vAlign w:val="top"/>
          </w:tcPr>
          <w:p>
            <w:pPr>
              <w:spacing w:after="0"/>
            </w:pPr>
            <w:r>
              <w:rPr>
                <w:rFonts w:ascii="Times New Roman" w:hAnsi="Times New Roman"/>
                <w:sz w:val="14"/>
              </w:rPr>
              <w:t>Num. 7:14</w:t>
            </w:r>
          </w:p>
        </w:tc>
        <w:tc>
          <w:tcPr>
            <w:tcW w:type="dxa" w:w="3561"/>
            <w:vAlign w:val="top"/>
          </w:tcPr>
          <w:p>
            <w:pPr>
              <w:spacing w:after="0"/>
            </w:pPr>
            <w:r>
              <w:rPr>
                <w:rFonts w:ascii="Times New Roman" w:hAnsi="Times New Roman"/>
                <w:sz w:val="14"/>
              </w:rPr>
              <w:t>kaph</w:t>
            </w:r>
          </w:p>
        </w:tc>
        <w:tc>
          <w:tcPr>
            <w:tcW w:type="dxa" w:w="3561"/>
            <w:vAlign w:val="top"/>
          </w:tcPr>
          <w:p>
            <w:pPr>
              <w:spacing w:after="0"/>
            </w:pPr>
            <w:r>
              <w:rPr>
                <w:rFonts w:ascii="Times New Roman" w:hAnsi="Times New Roman"/>
                <w:sz w:val="14"/>
              </w:rPr>
              <w:t>Small pan/spoon/dish; KJV “spoon” traditional.</w:t>
            </w:r>
          </w:p>
        </w:tc>
      </w:tr>
      <w:tr>
        <w:tc>
          <w:tcPr>
            <w:tcW w:type="dxa" w:w="3561"/>
            <w:vAlign w:val="top"/>
          </w:tcPr>
          <w:p>
            <w:pPr>
              <w:spacing w:after="0"/>
            </w:pPr>
            <w:r>
              <w:rPr>
                <w:rFonts w:ascii="Times New Roman" w:hAnsi="Times New Roman"/>
                <w:sz w:val="14"/>
              </w:rPr>
              <w:t>Num. 7:13</w:t>
            </w:r>
          </w:p>
        </w:tc>
        <w:tc>
          <w:tcPr>
            <w:tcW w:type="dxa" w:w="3561"/>
            <w:vAlign w:val="top"/>
          </w:tcPr>
          <w:p>
            <w:pPr>
              <w:spacing w:after="0"/>
            </w:pPr>
            <w:r>
              <w:rPr>
                <w:rFonts w:ascii="Times New Roman" w:hAnsi="Times New Roman"/>
                <w:sz w:val="14"/>
              </w:rPr>
              <w:t>“meat offering”</w:t>
            </w:r>
          </w:p>
        </w:tc>
        <w:tc>
          <w:tcPr>
            <w:tcW w:type="dxa" w:w="3561"/>
            <w:vAlign w:val="top"/>
          </w:tcPr>
          <w:p>
            <w:pPr>
              <w:spacing w:after="0"/>
            </w:pPr>
            <w:r>
              <w:rPr>
                <w:rFonts w:ascii="Times New Roman" w:hAnsi="Times New Roman"/>
                <w:sz w:val="14"/>
              </w:rPr>
              <w:t>Meal/grain offering.</w:t>
            </w:r>
          </w:p>
        </w:tc>
      </w:tr>
      <w:tr>
        <w:tc>
          <w:tcPr>
            <w:tcW w:type="dxa" w:w="3561"/>
            <w:vAlign w:val="top"/>
          </w:tcPr>
          <w:p>
            <w:pPr>
              <w:spacing w:after="0"/>
            </w:pPr>
            <w:r>
              <w:rPr>
                <w:rFonts w:ascii="Times New Roman" w:hAnsi="Times New Roman"/>
                <w:sz w:val="14"/>
              </w:rPr>
              <w:t>Num. 7:12–83</w:t>
            </w:r>
          </w:p>
        </w:tc>
        <w:tc>
          <w:tcPr>
            <w:tcW w:type="dxa" w:w="3561"/>
            <w:vAlign w:val="top"/>
          </w:tcPr>
          <w:p>
            <w:pPr>
              <w:spacing w:after="0"/>
            </w:pPr>
            <w:r>
              <w:rPr>
                <w:rFonts w:ascii="Times New Roman" w:hAnsi="Times New Roman"/>
                <w:sz w:val="14"/>
              </w:rPr>
              <w:t>identical prince offerings</w:t>
            </w:r>
          </w:p>
        </w:tc>
        <w:tc>
          <w:tcPr>
            <w:tcW w:type="dxa" w:w="3561"/>
            <w:vAlign w:val="top"/>
          </w:tcPr>
          <w:p>
            <w:pPr>
              <w:spacing w:after="0"/>
            </w:pPr>
            <w:r>
              <w:rPr>
                <w:rFonts w:ascii="Times New Roman" w:hAnsi="Times New Roman"/>
                <w:sz w:val="14"/>
              </w:rPr>
              <w:t>Equality of gift; each giver individually recorded.</w:t>
            </w:r>
          </w:p>
        </w:tc>
      </w:tr>
      <w:tr>
        <w:tc>
          <w:tcPr>
            <w:tcW w:type="dxa" w:w="3561"/>
            <w:vAlign w:val="top"/>
          </w:tcPr>
          <w:p>
            <w:pPr>
              <w:spacing w:after="0"/>
            </w:pPr>
            <w:r>
              <w:rPr>
                <w:rFonts w:ascii="Times New Roman" w:hAnsi="Times New Roman"/>
                <w:sz w:val="14"/>
              </w:rPr>
              <w:t>Num. 7:85</w:t>
            </w:r>
          </w:p>
        </w:tc>
        <w:tc>
          <w:tcPr>
            <w:tcW w:type="dxa" w:w="3561"/>
            <w:vAlign w:val="top"/>
          </w:tcPr>
          <w:p>
            <w:pPr>
              <w:spacing w:after="0"/>
            </w:pPr>
            <w:r>
              <w:rPr>
                <w:rFonts w:ascii="Times New Roman" w:hAnsi="Times New Roman"/>
                <w:sz w:val="14"/>
              </w:rPr>
              <w:t>2,400 silver shekels</w:t>
            </w:r>
          </w:p>
        </w:tc>
        <w:tc>
          <w:tcPr>
            <w:tcW w:type="dxa" w:w="3561"/>
            <w:vAlign w:val="top"/>
          </w:tcPr>
          <w:p>
            <w:pPr>
              <w:spacing w:after="0"/>
            </w:pPr>
            <w:r>
              <w:rPr>
                <w:rFonts w:ascii="Times New Roman" w:hAnsi="Times New Roman"/>
                <w:sz w:val="14"/>
              </w:rPr>
              <w:t>Explicit aggregate.</w:t>
            </w:r>
          </w:p>
        </w:tc>
      </w:tr>
      <w:tr>
        <w:tc>
          <w:tcPr>
            <w:tcW w:type="dxa" w:w="3561"/>
            <w:vAlign w:val="top"/>
          </w:tcPr>
          <w:p>
            <w:pPr>
              <w:spacing w:after="0"/>
            </w:pPr>
            <w:r>
              <w:rPr>
                <w:rFonts w:ascii="Times New Roman" w:hAnsi="Times New Roman"/>
                <w:sz w:val="14"/>
              </w:rPr>
              <w:t>Num. 7:86</w:t>
            </w:r>
          </w:p>
        </w:tc>
        <w:tc>
          <w:tcPr>
            <w:tcW w:type="dxa" w:w="3561"/>
            <w:vAlign w:val="top"/>
          </w:tcPr>
          <w:p>
            <w:pPr>
              <w:spacing w:after="0"/>
            </w:pPr>
            <w:r>
              <w:rPr>
                <w:rFonts w:ascii="Times New Roman" w:hAnsi="Times New Roman"/>
                <w:sz w:val="14"/>
              </w:rPr>
              <w:t>120 gold shekels</w:t>
            </w:r>
          </w:p>
        </w:tc>
        <w:tc>
          <w:tcPr>
            <w:tcW w:type="dxa" w:w="3561"/>
            <w:vAlign w:val="top"/>
          </w:tcPr>
          <w:p>
            <w:pPr>
              <w:spacing w:after="0"/>
            </w:pPr>
            <w:r>
              <w:rPr>
                <w:rFonts w:ascii="Times New Roman" w:hAnsi="Times New Roman"/>
                <w:sz w:val="14"/>
              </w:rPr>
              <w:t>Explicit aggregate.</w:t>
            </w:r>
          </w:p>
        </w:tc>
      </w:tr>
      <w:tr>
        <w:tc>
          <w:tcPr>
            <w:tcW w:type="dxa" w:w="3561"/>
            <w:vAlign w:val="top"/>
          </w:tcPr>
          <w:p>
            <w:pPr>
              <w:spacing w:after="0"/>
            </w:pPr>
            <w:r>
              <w:rPr>
                <w:rFonts w:ascii="Times New Roman" w:hAnsi="Times New Roman"/>
                <w:sz w:val="14"/>
              </w:rPr>
              <w:t>Num. 7:87</w:t>
            </w:r>
          </w:p>
        </w:tc>
        <w:tc>
          <w:tcPr>
            <w:tcW w:type="dxa" w:w="3561"/>
            <w:vAlign w:val="top"/>
          </w:tcPr>
          <w:p>
            <w:pPr>
              <w:spacing w:after="0"/>
            </w:pPr>
            <w:r>
              <w:rPr>
                <w:rFonts w:ascii="Times New Roman" w:hAnsi="Times New Roman"/>
                <w:sz w:val="14"/>
              </w:rPr>
              <w:t>12 bulls, 12 rams, 12 lambs + 12 goats</w:t>
            </w:r>
          </w:p>
        </w:tc>
        <w:tc>
          <w:tcPr>
            <w:tcW w:type="dxa" w:w="3561"/>
            <w:vAlign w:val="top"/>
          </w:tcPr>
          <w:p>
            <w:pPr>
              <w:spacing w:after="0"/>
            </w:pPr>
            <w:r>
              <w:rPr>
                <w:rFonts w:ascii="Times New Roman" w:hAnsi="Times New Roman"/>
                <w:sz w:val="14"/>
              </w:rPr>
              <w:t>Burnt and sin totals.</w:t>
            </w:r>
          </w:p>
        </w:tc>
      </w:tr>
      <w:tr>
        <w:tc>
          <w:tcPr>
            <w:tcW w:type="dxa" w:w="3561"/>
            <w:vAlign w:val="top"/>
          </w:tcPr>
          <w:p>
            <w:pPr>
              <w:spacing w:after="0"/>
            </w:pPr>
            <w:r>
              <w:rPr>
                <w:rFonts w:ascii="Times New Roman" w:hAnsi="Times New Roman"/>
                <w:sz w:val="14"/>
              </w:rPr>
              <w:t>Num. 7:88</w:t>
            </w:r>
          </w:p>
        </w:tc>
        <w:tc>
          <w:tcPr>
            <w:tcW w:type="dxa" w:w="3561"/>
            <w:vAlign w:val="top"/>
          </w:tcPr>
          <w:p>
            <w:pPr>
              <w:spacing w:after="0"/>
            </w:pPr>
            <w:r>
              <w:rPr>
                <w:rFonts w:ascii="Times New Roman" w:hAnsi="Times New Roman"/>
                <w:sz w:val="14"/>
              </w:rPr>
              <w:t>24 bulls; 60 each rams/goats/lambs</w:t>
            </w:r>
          </w:p>
        </w:tc>
        <w:tc>
          <w:tcPr>
            <w:tcW w:type="dxa" w:w="3561"/>
            <w:vAlign w:val="top"/>
          </w:tcPr>
          <w:p>
            <w:pPr>
              <w:spacing w:after="0"/>
            </w:pPr>
            <w:r>
              <w:rPr>
                <w:rFonts w:ascii="Times New Roman" w:hAnsi="Times New Roman"/>
                <w:sz w:val="14"/>
              </w:rPr>
              <w:t>Peace-offering totals.</w:t>
            </w:r>
          </w:p>
        </w:tc>
      </w:tr>
      <w:tr>
        <w:tc>
          <w:tcPr>
            <w:tcW w:type="dxa" w:w="3561"/>
            <w:vAlign w:val="top"/>
          </w:tcPr>
          <w:p>
            <w:pPr>
              <w:spacing w:after="0"/>
            </w:pPr>
            <w:r>
              <w:rPr>
                <w:rFonts w:ascii="Times New Roman" w:hAnsi="Times New Roman"/>
                <w:sz w:val="14"/>
              </w:rPr>
              <w:t>Num. 7:89</w:t>
            </w:r>
          </w:p>
        </w:tc>
        <w:tc>
          <w:tcPr>
            <w:tcW w:type="dxa" w:w="3561"/>
            <w:vAlign w:val="top"/>
          </w:tcPr>
          <w:p>
            <w:pPr>
              <w:spacing w:after="0"/>
            </w:pPr>
            <w:r>
              <w:rPr>
                <w:rFonts w:ascii="Times New Roman" w:hAnsi="Times New Roman"/>
                <w:sz w:val="14"/>
              </w:rPr>
              <w:t>kapporeth</w:t>
            </w:r>
          </w:p>
        </w:tc>
        <w:tc>
          <w:tcPr>
            <w:tcW w:type="dxa" w:w="3561"/>
            <w:vAlign w:val="top"/>
          </w:tcPr>
          <w:p>
            <w:pPr>
              <w:spacing w:after="0"/>
            </w:pPr>
            <w:r>
              <w:rPr>
                <w:rFonts w:ascii="Times New Roman" w:hAnsi="Times New Roman"/>
                <w:sz w:val="14"/>
              </w:rPr>
              <w:t>Atonement-cover/mercy seat; voice between cherubim.</w:t>
            </w:r>
          </w:p>
        </w:tc>
      </w:tr>
    </w:tbl>
    <w:p>
      <w:pPr>
        <w:pStyle w:val="Heading1"/>
      </w:pPr>
      <w:r>
        <w:t>RESIDUAL UNCERTAINTIES</w:t>
      </w:r>
    </w:p>
    <w:p>
      <w:pPr/>
      <w:r>
        <w:rPr>
          <w:i w:val="0"/>
        </w:rPr>
        <w:t>The shape of the tsav wagons and several vessel forms is uncertain. Exact modern metal weights vary according to the shekel standard adopted. Mansfield’s elaborate numerical and future-kingdom applications remain typology rather than the chapter’s explicit interpretation.</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