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8</w:t>
      </w:r>
    </w:p>
    <w:p>
      <w:pPr>
        <w:pStyle w:val="Subtitle"/>
      </w:pPr>
      <w:r>
        <w:t>THE LIGHT • LEVITES CLEANSED AND PRESENTED • ISRAEL LAYS HANDS ON ITS SERVANTS • LEVITES IN PLACE OF THE FIRSTBORN • SERVICE WITHOUT PRESUMPTUOUS APPROACH • TWENTY-FIVE TO FIFTY</w:t>
      </w:r>
    </w:p>
    <w:p>
      <w:pPr/>
      <w:r>
        <w:rPr>
          <w:i/>
        </w:rPr>
        <w:t>H. P. Mansfield Bible notes — checked and arranged in verse-by-verse Expositor style</w:t>
      </w:r>
    </w:p>
    <w:p>
      <w:pPr/>
      <w:r>
        <w:rPr>
          <w:i w:val="0"/>
        </w:rPr>
        <w:t>Source: HPB 03-Lev12-Num36.PDF, Numbers 8 annotated pages; cross-checked with Mansfield’s Numbers Expositor Chapter 8.</w:t>
      </w:r>
    </w:p>
    <w:p>
      <w:pPr>
        <w:pStyle w:val="Heading1"/>
      </w:pPr>
      <w:r>
        <w:t>CHAPTER OVERVIEW</w:t>
      </w:r>
    </w:p>
    <w:p>
      <w:pPr/>
      <w:r>
        <w:rPr>
          <w:i w:val="0"/>
        </w:rPr>
        <w:t>Numbers 8 joins light with service. The seven lamps are arranged according to the revealed pattern, then the Levites themselves are cleansed, presented and assigned as Israel’s servants to the Aaronic priesthood.</w:t>
      </w:r>
    </w:p>
    <w:p>
      <w:pPr/>
      <w:r>
        <w:rPr>
          <w:i w:val="0"/>
        </w:rPr>
        <w:t>The chapter repeats the firstborn replacement principle and concludes with the Levite service-age rule. It also creates an interpretive problem with Numbers 4: active Levite service begins at twenty-five here but the transport census begins at thirty there.</w:t>
      </w:r>
    </w:p>
    <w:p>
      <w:pPr>
        <w:pStyle w:val="Heading1"/>
      </w:pPr>
      <w:r>
        <w:t>THE SEVEN LAMPS — NUMBERS 8:1–4</w:t>
      </w:r>
    </w:p>
    <w:p>
      <w:pPr>
        <w:pStyle w:val="Heading2"/>
      </w:pPr>
      <w:r>
        <w:t>Numbers 8:1–3 — lamps shine toward the face/front of the lampstand</w:t>
      </w:r>
    </w:p>
    <w:p>
      <w:pPr/>
      <w:r>
        <w:rPr>
          <w:i w:val="0"/>
        </w:rPr>
        <w:t>Aaron arranges the seven lamps so they give light toward the paneh, face/front, of the menorah. KJV “candlestick” is traditional English; the object is an oil lampstand.</w:t>
      </w:r>
    </w:p>
    <w:p>
      <w:pPr/>
      <w:r>
        <w:rPr>
          <w:i w:val="0"/>
        </w:rPr>
        <w:t>The precise geometry of “toward the face” has been reconstructed in different ways, but the secure point is ordered illumination according to Yahweh’s command.</w:t>
      </w:r>
    </w:p>
    <w:p>
      <w:pPr>
        <w:pStyle w:val="Heading2"/>
      </w:pPr>
      <w:r>
        <w:t>Numbers 8:4 — miqshah, hammered work according to the pattern</w:t>
      </w:r>
    </w:p>
    <w:p>
      <w:pPr/>
      <w:r>
        <w:rPr>
          <w:i w:val="0"/>
        </w:rPr>
        <w:t>The menorah is miqshah, hammered/beaten work of gold, from base to flower, made according to the pattern Yahweh showed Moses.</w:t>
      </w:r>
    </w:p>
    <w:p>
      <w:pPr/>
      <w:r>
        <w:rPr>
          <w:i w:val="0"/>
        </w:rPr>
        <w:t>Revelation 1:20 later uses lampstands as ecclesial imagery, giving broad warrant for Mansfield’s light-and-witness application.</w:t>
      </w:r>
    </w:p>
    <w:p>
      <w:pPr>
        <w:pStyle w:val="Heading1"/>
      </w:pPr>
      <w:r>
        <w:t>THE LEVITES CLEANSED — NUMBERS 8:5–14</w:t>
      </w:r>
    </w:p>
    <w:p>
      <w:pPr>
        <w:pStyle w:val="Heading2"/>
      </w:pPr>
      <w:r>
        <w:t>Numbers 8:5–7 — purification water, shaving and washed garments</w:t>
      </w:r>
    </w:p>
    <w:p>
      <w:pPr/>
      <w:r>
        <w:rPr>
          <w:i w:val="0"/>
        </w:rPr>
        <w:t>Moses is told to sprinkle mei chatta’t, water of purification/sin-cleansing, on the Levites; they pass a razor over all their flesh and wash their clothes.</w:t>
      </w:r>
    </w:p>
    <w:p>
      <w:pPr/>
      <w:r>
        <w:rPr>
          <w:i w:val="0"/>
        </w:rPr>
        <w:t>The chapter does not specify how this water was prepared. Mansfield compares the later water of separation in Numbers 19, but the text does not say they are identical and that identification should remain uncertain.</w:t>
      </w:r>
    </w:p>
    <w:p>
      <w:pPr>
        <w:pStyle w:val="Heading2"/>
      </w:pPr>
      <w:r>
        <w:t>Numbers 8:8 — two bulls and a grain offering</w:t>
      </w:r>
    </w:p>
    <w:p>
      <w:pPr/>
      <w:r>
        <w:rPr>
          <w:i w:val="0"/>
        </w:rPr>
        <w:t>One young bull is accompanied by fine flour mixed with oil as a grain offering, and a second bull is taken as a sin/purification offering.</w:t>
      </w:r>
    </w:p>
    <w:p>
      <w:pPr/>
      <w:r>
        <w:rPr>
          <w:i w:val="0"/>
        </w:rPr>
        <w:t>KJV “meat offering” is meal/grain offering.</w:t>
      </w:r>
    </w:p>
    <w:p>
      <w:pPr>
        <w:pStyle w:val="Heading2"/>
      </w:pPr>
      <w:r>
        <w:t>Numbers 8:9–10 — Israel lays hands on the Levites</w:t>
      </w:r>
    </w:p>
    <w:p>
      <w:pPr/>
      <w:r>
        <w:rPr>
          <w:i w:val="0"/>
        </w:rPr>
        <w:t>The Levites are brought before the Tent and the whole congregation is assembled. The children of Israel lay hands upon the Levites, identifying these servants as representatives given from the nation for sanctuary service.</w:t>
      </w:r>
    </w:p>
    <w:p>
      <w:pPr>
        <w:pStyle w:val="Heading2"/>
      </w:pPr>
      <w:r>
        <w:t>Numbers 8:11 — Levites presented as a tenufah</w:t>
      </w:r>
    </w:p>
    <w:p>
      <w:pPr/>
      <w:r>
        <w:rPr>
          <w:i w:val="0"/>
        </w:rPr>
        <w:t>Aaron offers/presents the Levites before Yahweh as a tenufah, wave offering, from Israel so that they may perform Yahweh’s service.</w:t>
      </w:r>
    </w:p>
    <w:p>
      <w:pPr/>
      <w:r>
        <w:rPr>
          <w:i w:val="0"/>
        </w:rPr>
        <w:t>The text applies wave-offering terminology to persons but does not explain the physical mechanics. Mansfield’s suggestion that Aaron literally pointed and waved his hands is possible reconstruction, not stated fact.</w:t>
      </w:r>
    </w:p>
    <w:p>
      <w:pPr>
        <w:pStyle w:val="Heading2"/>
      </w:pPr>
      <w:r>
        <w:t>Numbers 8:12–14 — Levites lay hands on the bulls</w:t>
      </w:r>
    </w:p>
    <w:p>
      <w:pPr/>
      <w:r>
        <w:rPr>
          <w:i w:val="0"/>
        </w:rPr>
        <w:t>The Levites in turn lay hands on the bulls; one is offered for sin/purification and one for burnt offering to make atonement for them. They are then separated from the other Israelites and belong to Yahweh’s service.</w:t>
      </w:r>
    </w:p>
    <w:p>
      <w:pPr/>
      <w:r>
        <w:rPr>
          <w:i w:val="0"/>
        </w:rPr>
        <w:t>The sequence Israel → Levites → sacrificial animals gives a clear ritual chain of representative identification without implying that guilt is a transferable physical substance.</w:t>
      </w:r>
    </w:p>
    <w:p>
      <w:pPr>
        <w:pStyle w:val="Heading1"/>
      </w:pPr>
      <w:r>
        <w:t>IN PLACE OF THE FIRSTBORN — NUMBERS 8:15–19</w:t>
      </w:r>
    </w:p>
    <w:p>
      <w:pPr>
        <w:pStyle w:val="Heading2"/>
      </w:pPr>
      <w:r>
        <w:t>Numbers 8:15–18 — “wholly given” instead of the firstborn</w:t>
      </w:r>
    </w:p>
    <w:p>
      <w:pPr/>
      <w:r>
        <w:rPr>
          <w:i w:val="0"/>
        </w:rPr>
        <w:t>After cleansing and presentation, the Levites enter service. Yahweh repeats that they are wholly given to Him instead of every firstborn male of Israel, whose claim arose when Egypt’s firstborn were struck.</w:t>
      </w:r>
    </w:p>
    <w:p>
      <w:pPr/>
      <w:r>
        <w:rPr>
          <w:i w:val="0"/>
        </w:rPr>
        <w:t>The “instead of” language describes a literal covenant-service replacement within Israel; it should not automatically be imported as a theory of Christ’s sacrificial relationship to believers.</w:t>
      </w:r>
    </w:p>
    <w:p>
      <w:pPr>
        <w:pStyle w:val="Heading2"/>
      </w:pPr>
      <w:r>
        <w:t>Numbers 8:19 — given to Aaron and sons; preventing negeph</w:t>
      </w:r>
    </w:p>
    <w:p>
      <w:pPr/>
      <w:r>
        <w:rPr>
          <w:i w:val="0"/>
        </w:rPr>
        <w:t>Yahweh gives the Levites to Aaron and his sons to perform Israel’s Tent service and to make kipper/atonement for Israel so that no negeph falls when Israelites approach the sanctuary.</w:t>
      </w:r>
    </w:p>
    <w:p>
      <w:pPr/>
      <w:r>
        <w:rPr>
          <w:i w:val="0"/>
        </w:rPr>
        <w:t>The Levites do not offer the priestly atoning sacrifices. Their guarded service contributes to Israel’s safe approach and prevents unauthorised intrusion. Negeph can denote a blow/plague/striking judgment; Mansfield’s proposed “stumbling” nuance is possible from the root family but should not replace the normal contextual sense.</w:t>
      </w:r>
    </w:p>
    <w:p>
      <w:pPr>
        <w:pStyle w:val="Heading1"/>
      </w:pPr>
      <w:r>
        <w:t>OBEDIENCE AND SERVICE — NUMBERS 8:20–22</w:t>
      </w:r>
    </w:p>
    <w:p>
      <w:pPr>
        <w:pStyle w:val="Heading2"/>
      </w:pPr>
      <w:r>
        <w:t>Numbers 8:20–22 — exactly as commanded</w:t>
      </w:r>
    </w:p>
    <w:p>
      <w:pPr/>
      <w:r>
        <w:rPr>
          <w:i w:val="0"/>
        </w:rPr>
        <w:t>Moses, Aaron and the congregation carry out the cleansing and presentation, after which the Levites enter their service before Aaron and his sons.</w:t>
      </w:r>
    </w:p>
    <w:p>
      <w:pPr/>
      <w:r>
        <w:rPr>
          <w:i w:val="0"/>
        </w:rPr>
        <w:t>Levitical service remains under priestly direction; dedication does not mean self-appointed ministry.</w:t>
      </w:r>
    </w:p>
    <w:p>
      <w:pPr>
        <w:pStyle w:val="Heading1"/>
      </w:pPr>
      <w:r>
        <w:t>AGES OF SERVICE — NUMBERS 8:23–26</w:t>
      </w:r>
    </w:p>
    <w:p>
      <w:pPr>
        <w:pStyle w:val="Heading2"/>
      </w:pPr>
      <w:r>
        <w:t>Numbers 8:23–25 — begin at twenty-five, withdraw at fifty</w:t>
      </w:r>
    </w:p>
    <w:p>
      <w:pPr/>
      <w:r>
        <w:rPr>
          <w:i w:val="0"/>
        </w:rPr>
        <w:t>At twenty-five a Levite enters the service-host of the Tent. At fifty he withdraws from the avodah/service and does not perform the former active work.</w:t>
      </w:r>
    </w:p>
    <w:p>
      <w:pPr>
        <w:pStyle w:val="Heading2"/>
      </w:pPr>
      <w:r>
        <w:t>Numbers 8:26 — older men still assist and keep the charge</w:t>
      </w:r>
    </w:p>
    <w:p>
      <w:pPr/>
      <w:r>
        <w:rPr>
          <w:i w:val="0"/>
        </w:rPr>
        <w:t>After fifty he may minister with/assist his brethren in keeping the mishmereth, charge/guard, but “shall do no service” in the previous sense.</w:t>
      </w:r>
    </w:p>
    <w:p>
      <w:pPr/>
      <w:r>
        <w:rPr>
          <w:i w:val="0"/>
        </w:rPr>
        <w:t>This preserves continuing usefulness without requiring the older Levite to carry the former physical burden.</w:t>
      </w:r>
    </w:p>
    <w:p>
      <w:pPr>
        <w:pStyle w:val="Heading2"/>
      </w:pPr>
      <w:r>
        <w:t>Numbers 8 compared with Numbers 4 — twenty-five versus thirty</w:t>
      </w:r>
    </w:p>
    <w:p>
      <w:pPr/>
      <w:r>
        <w:rPr>
          <w:i w:val="0"/>
        </w:rPr>
        <w:t>Numbers 4 repeatedly numbers transport workers from thirty to fifty, whereas Numbers 8 begins service at twenty-five. A common explanation is five years of preparatory/apprentice service before full transport duty, and the Septuagint has twenty-five in Numbers 4:3, but the Hebrew Bible does not explicitly resolve the difference.</w:t>
      </w:r>
    </w:p>
    <w:p>
      <w:pPr/>
      <w:r>
        <w:rPr>
          <w:i w:val="0"/>
        </w:rPr>
        <w:t>The discrepancy should therefore be acknowledged rather than silently harmonised.</w:t>
      </w:r>
    </w:p>
    <w:p>
      <w:pPr>
        <w:pStyle w:val="Heading1"/>
      </w:pPr>
      <w:r>
        <w:t>PRINCIPAL THEMES</w:t>
      </w:r>
    </w:p>
    <w:p>
      <w:pPr>
        <w:ind w:left="259" w:hanging="202"/>
      </w:pPr>
      <w:r>
        <w:rPr>
          <w:b/>
        </w:rPr>
        <w:t xml:space="preserve">• </w:t>
      </w:r>
      <w:r>
        <w:t>Light and service are joined: the sanctuary must be illuminated and its servants purified.</w:t>
      </w:r>
    </w:p>
    <w:p>
      <w:pPr>
        <w:ind w:left="259" w:hanging="202"/>
      </w:pPr>
      <w:r>
        <w:rPr>
          <w:b/>
        </w:rPr>
        <w:t xml:space="preserve">• </w:t>
      </w:r>
      <w:r>
        <w:t>The menorah is an oil lampstand made as one hammered work according to the revealed pattern.</w:t>
      </w:r>
    </w:p>
    <w:p>
      <w:pPr>
        <w:ind w:left="259" w:hanging="202"/>
      </w:pPr>
      <w:r>
        <w:rPr>
          <w:b/>
        </w:rPr>
        <w:t xml:space="preserve">• </w:t>
      </w:r>
      <w:r>
        <w:t>Numbers 8 does not identify its purification water explicitly with the Numbers 19 red-heifer mixture.</w:t>
      </w:r>
    </w:p>
    <w:p>
      <w:pPr>
        <w:ind w:left="259" w:hanging="202"/>
      </w:pPr>
      <w:r>
        <w:rPr>
          <w:b/>
        </w:rPr>
        <w:t xml:space="preserve">• </w:t>
      </w:r>
      <w:r>
        <w:t>Israel lays hands on the Levites; the Levites lay hands on the sacrificial bulls.</w:t>
      </w:r>
    </w:p>
    <w:p>
      <w:pPr>
        <w:ind w:left="259" w:hanging="202"/>
      </w:pPr>
      <w:r>
        <w:rPr>
          <w:b/>
        </w:rPr>
        <w:t xml:space="preserve">• </w:t>
      </w:r>
      <w:r>
        <w:t>The Levites are presented as Israel’s wave offering, but the mechanics of waving persons are not stated.</w:t>
      </w:r>
    </w:p>
    <w:p>
      <w:pPr>
        <w:ind w:left="259" w:hanging="202"/>
      </w:pPr>
      <w:r>
        <w:rPr>
          <w:b/>
        </w:rPr>
        <w:t xml:space="preserve">• </w:t>
      </w:r>
      <w:r>
        <w:t>They replace the firstborn in a national service arrangement.</w:t>
      </w:r>
    </w:p>
    <w:p>
      <w:pPr>
        <w:ind w:left="259" w:hanging="202"/>
      </w:pPr>
      <w:r>
        <w:rPr>
          <w:b/>
        </w:rPr>
        <w:t xml:space="preserve">• </w:t>
      </w:r>
      <w:r>
        <w:t>Levitical assistance to atonement does not turn Levites into sacrificing priests.</w:t>
      </w:r>
    </w:p>
    <w:p>
      <w:pPr>
        <w:ind w:left="259" w:hanging="202"/>
      </w:pPr>
      <w:r>
        <w:rPr>
          <w:b/>
        </w:rPr>
        <w:t xml:space="preserve">• </w:t>
      </w:r>
      <w:r>
        <w:t>Service begins at twenty-five here but at thirty in Numbers 4; the difference remains genuinely interpretive/textual.</w:t>
      </w:r>
    </w:p>
    <w:p>
      <w:pPr>
        <w:ind w:left="259" w:hanging="202"/>
      </w:pPr>
      <w:r>
        <w:rPr>
          <w:b/>
        </w:rPr>
        <w:t xml:space="preserve">• </w:t>
      </w:r>
      <w:r>
        <w:t>After fifty, active burden ceases but experienced assistance and guarding continue.</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8:2</w:t>
            </w:r>
          </w:p>
        </w:tc>
        <w:tc>
          <w:tcPr>
            <w:tcW w:type="dxa" w:w="3561"/>
            <w:vAlign w:val="top"/>
          </w:tcPr>
          <w:p>
            <w:pPr>
              <w:spacing w:after="0"/>
            </w:pPr>
            <w:r>
              <w:rPr>
                <w:rFonts w:ascii="Times New Roman" w:hAnsi="Times New Roman"/>
                <w:sz w:val="14"/>
              </w:rPr>
              <w:t>paneh of menorah</w:t>
            </w:r>
          </w:p>
        </w:tc>
        <w:tc>
          <w:tcPr>
            <w:tcW w:type="dxa" w:w="3561"/>
            <w:vAlign w:val="top"/>
          </w:tcPr>
          <w:p>
            <w:pPr>
              <w:spacing w:after="0"/>
            </w:pPr>
            <w:r>
              <w:rPr>
                <w:rFonts w:ascii="Times New Roman" w:hAnsi="Times New Roman"/>
                <w:sz w:val="14"/>
              </w:rPr>
              <w:t>Face/front; exact lamp orientation reconstructed.</w:t>
            </w:r>
          </w:p>
        </w:tc>
      </w:tr>
      <w:tr>
        <w:tc>
          <w:tcPr>
            <w:tcW w:type="dxa" w:w="3561"/>
            <w:vAlign w:val="top"/>
          </w:tcPr>
          <w:p>
            <w:pPr>
              <w:spacing w:after="0"/>
            </w:pPr>
            <w:r>
              <w:rPr>
                <w:rFonts w:ascii="Times New Roman" w:hAnsi="Times New Roman"/>
                <w:sz w:val="14"/>
              </w:rPr>
              <w:t>Num. 8:4</w:t>
            </w:r>
          </w:p>
        </w:tc>
        <w:tc>
          <w:tcPr>
            <w:tcW w:type="dxa" w:w="3561"/>
            <w:vAlign w:val="top"/>
          </w:tcPr>
          <w:p>
            <w:pPr>
              <w:spacing w:after="0"/>
            </w:pPr>
            <w:r>
              <w:rPr>
                <w:rFonts w:ascii="Times New Roman" w:hAnsi="Times New Roman"/>
                <w:sz w:val="14"/>
              </w:rPr>
              <w:t>miqshah</w:t>
            </w:r>
          </w:p>
        </w:tc>
        <w:tc>
          <w:tcPr>
            <w:tcW w:type="dxa" w:w="3561"/>
            <w:vAlign w:val="top"/>
          </w:tcPr>
          <w:p>
            <w:pPr>
              <w:spacing w:after="0"/>
            </w:pPr>
            <w:r>
              <w:rPr>
                <w:rFonts w:ascii="Times New Roman" w:hAnsi="Times New Roman"/>
                <w:sz w:val="14"/>
              </w:rPr>
              <w:t>Hammered/beaten work.</w:t>
            </w:r>
          </w:p>
        </w:tc>
      </w:tr>
      <w:tr>
        <w:tc>
          <w:tcPr>
            <w:tcW w:type="dxa" w:w="3561"/>
            <w:vAlign w:val="top"/>
          </w:tcPr>
          <w:p>
            <w:pPr>
              <w:spacing w:after="0"/>
            </w:pPr>
            <w:r>
              <w:rPr>
                <w:rFonts w:ascii="Times New Roman" w:hAnsi="Times New Roman"/>
                <w:sz w:val="14"/>
              </w:rPr>
              <w:t>Num. 8:7</w:t>
            </w:r>
          </w:p>
        </w:tc>
        <w:tc>
          <w:tcPr>
            <w:tcW w:type="dxa" w:w="3561"/>
            <w:vAlign w:val="top"/>
          </w:tcPr>
          <w:p>
            <w:pPr>
              <w:spacing w:after="0"/>
            </w:pPr>
            <w:r>
              <w:rPr>
                <w:rFonts w:ascii="Times New Roman" w:hAnsi="Times New Roman"/>
                <w:sz w:val="14"/>
              </w:rPr>
              <w:t>mei chatta’t</w:t>
            </w:r>
          </w:p>
        </w:tc>
        <w:tc>
          <w:tcPr>
            <w:tcW w:type="dxa" w:w="3561"/>
            <w:vAlign w:val="top"/>
          </w:tcPr>
          <w:p>
            <w:pPr>
              <w:spacing w:after="0"/>
            </w:pPr>
            <w:r>
              <w:rPr>
                <w:rFonts w:ascii="Times New Roman" w:hAnsi="Times New Roman"/>
                <w:sz w:val="14"/>
              </w:rPr>
              <w:t>Water of purification/sin-cleansing; composition not specified here.</w:t>
            </w:r>
          </w:p>
        </w:tc>
      </w:tr>
      <w:tr>
        <w:tc>
          <w:tcPr>
            <w:tcW w:type="dxa" w:w="3561"/>
            <w:vAlign w:val="top"/>
          </w:tcPr>
          <w:p>
            <w:pPr>
              <w:spacing w:after="0"/>
            </w:pPr>
            <w:r>
              <w:rPr>
                <w:rFonts w:ascii="Times New Roman" w:hAnsi="Times New Roman"/>
                <w:sz w:val="14"/>
              </w:rPr>
              <w:t>Num. 19 comparison</w:t>
            </w:r>
          </w:p>
        </w:tc>
        <w:tc>
          <w:tcPr>
            <w:tcW w:type="dxa" w:w="3561"/>
            <w:vAlign w:val="top"/>
          </w:tcPr>
          <w:p>
            <w:pPr>
              <w:spacing w:after="0"/>
            </w:pPr>
            <w:r>
              <w:rPr>
                <w:rFonts w:ascii="Times New Roman" w:hAnsi="Times New Roman"/>
                <w:sz w:val="14"/>
              </w:rPr>
              <w:t>possible, not explicit</w:t>
            </w:r>
          </w:p>
        </w:tc>
        <w:tc>
          <w:tcPr>
            <w:tcW w:type="dxa" w:w="3561"/>
            <w:vAlign w:val="top"/>
          </w:tcPr>
          <w:p>
            <w:pPr>
              <w:spacing w:after="0"/>
            </w:pPr>
            <w:r>
              <w:rPr>
                <w:rFonts w:ascii="Times New Roman" w:hAnsi="Times New Roman"/>
                <w:sz w:val="14"/>
              </w:rPr>
              <w:t>Do not state Numbers 8 water was definitely red-heifer water.</w:t>
            </w:r>
          </w:p>
        </w:tc>
      </w:tr>
      <w:tr>
        <w:tc>
          <w:tcPr>
            <w:tcW w:type="dxa" w:w="3561"/>
            <w:vAlign w:val="top"/>
          </w:tcPr>
          <w:p>
            <w:pPr>
              <w:spacing w:after="0"/>
            </w:pPr>
            <w:r>
              <w:rPr>
                <w:rFonts w:ascii="Times New Roman" w:hAnsi="Times New Roman"/>
                <w:sz w:val="14"/>
              </w:rPr>
              <w:t>Num. 8:7</w:t>
            </w:r>
          </w:p>
        </w:tc>
        <w:tc>
          <w:tcPr>
            <w:tcW w:type="dxa" w:w="3561"/>
            <w:vAlign w:val="top"/>
          </w:tcPr>
          <w:p>
            <w:pPr>
              <w:spacing w:after="0"/>
            </w:pPr>
            <w:r>
              <w:rPr>
                <w:rFonts w:ascii="Times New Roman" w:hAnsi="Times New Roman"/>
                <w:sz w:val="14"/>
              </w:rPr>
              <w:t>shave all flesh + wash clothes</w:t>
            </w:r>
          </w:p>
        </w:tc>
        <w:tc>
          <w:tcPr>
            <w:tcW w:type="dxa" w:w="3561"/>
            <w:vAlign w:val="top"/>
          </w:tcPr>
          <w:p>
            <w:pPr>
              <w:spacing w:after="0"/>
            </w:pPr>
            <w:r>
              <w:rPr>
                <w:rFonts w:ascii="Times New Roman" w:hAnsi="Times New Roman"/>
                <w:sz w:val="14"/>
              </w:rPr>
              <w:t>Formal purification of Levites.</w:t>
            </w:r>
          </w:p>
        </w:tc>
      </w:tr>
      <w:tr>
        <w:tc>
          <w:tcPr>
            <w:tcW w:type="dxa" w:w="3561"/>
            <w:vAlign w:val="top"/>
          </w:tcPr>
          <w:p>
            <w:pPr>
              <w:spacing w:after="0"/>
            </w:pPr>
            <w:r>
              <w:rPr>
                <w:rFonts w:ascii="Times New Roman" w:hAnsi="Times New Roman"/>
                <w:sz w:val="14"/>
              </w:rPr>
              <w:t>Num. 8:8</w:t>
            </w:r>
          </w:p>
        </w:tc>
        <w:tc>
          <w:tcPr>
            <w:tcW w:type="dxa" w:w="3561"/>
            <w:vAlign w:val="top"/>
          </w:tcPr>
          <w:p>
            <w:pPr>
              <w:spacing w:after="0"/>
            </w:pPr>
            <w:r>
              <w:rPr>
                <w:rFonts w:ascii="Times New Roman" w:hAnsi="Times New Roman"/>
                <w:sz w:val="14"/>
              </w:rPr>
              <w:t>“meat offering”</w:t>
            </w:r>
          </w:p>
        </w:tc>
        <w:tc>
          <w:tcPr>
            <w:tcW w:type="dxa" w:w="3561"/>
            <w:vAlign w:val="top"/>
          </w:tcPr>
          <w:p>
            <w:pPr>
              <w:spacing w:after="0"/>
            </w:pPr>
            <w:r>
              <w:rPr>
                <w:rFonts w:ascii="Times New Roman" w:hAnsi="Times New Roman"/>
                <w:sz w:val="14"/>
              </w:rPr>
              <w:t>Meal/grain offering.</w:t>
            </w:r>
          </w:p>
        </w:tc>
      </w:tr>
      <w:tr>
        <w:tc>
          <w:tcPr>
            <w:tcW w:type="dxa" w:w="3561"/>
            <w:vAlign w:val="top"/>
          </w:tcPr>
          <w:p>
            <w:pPr>
              <w:spacing w:after="0"/>
            </w:pPr>
            <w:r>
              <w:rPr>
                <w:rFonts w:ascii="Times New Roman" w:hAnsi="Times New Roman"/>
                <w:sz w:val="14"/>
              </w:rPr>
              <w:t>Num. 8:10</w:t>
            </w:r>
          </w:p>
        </w:tc>
        <w:tc>
          <w:tcPr>
            <w:tcW w:type="dxa" w:w="3561"/>
            <w:vAlign w:val="top"/>
          </w:tcPr>
          <w:p>
            <w:pPr>
              <w:spacing w:after="0"/>
            </w:pPr>
            <w:r>
              <w:rPr>
                <w:rFonts w:ascii="Times New Roman" w:hAnsi="Times New Roman"/>
                <w:sz w:val="14"/>
              </w:rPr>
              <w:t>Israel lays hands on Levites</w:t>
            </w:r>
          </w:p>
        </w:tc>
        <w:tc>
          <w:tcPr>
            <w:tcW w:type="dxa" w:w="3561"/>
            <w:vAlign w:val="top"/>
          </w:tcPr>
          <w:p>
            <w:pPr>
              <w:spacing w:after="0"/>
            </w:pPr>
            <w:r>
              <w:rPr>
                <w:rFonts w:ascii="Times New Roman" w:hAnsi="Times New Roman"/>
                <w:sz w:val="14"/>
              </w:rPr>
              <w:t>Representative national identification.</w:t>
            </w:r>
          </w:p>
        </w:tc>
      </w:tr>
      <w:tr>
        <w:tc>
          <w:tcPr>
            <w:tcW w:type="dxa" w:w="3561"/>
            <w:vAlign w:val="top"/>
          </w:tcPr>
          <w:p>
            <w:pPr>
              <w:spacing w:after="0"/>
            </w:pPr>
            <w:r>
              <w:rPr>
                <w:rFonts w:ascii="Times New Roman" w:hAnsi="Times New Roman"/>
                <w:sz w:val="14"/>
              </w:rPr>
              <w:t>Num. 8:11</w:t>
            </w:r>
          </w:p>
        </w:tc>
        <w:tc>
          <w:tcPr>
            <w:tcW w:type="dxa" w:w="3561"/>
            <w:vAlign w:val="top"/>
          </w:tcPr>
          <w:p>
            <w:pPr>
              <w:spacing w:after="0"/>
            </w:pPr>
            <w:r>
              <w:rPr>
                <w:rFonts w:ascii="Times New Roman" w:hAnsi="Times New Roman"/>
                <w:sz w:val="14"/>
              </w:rPr>
              <w:t>tenufah</w:t>
            </w:r>
          </w:p>
        </w:tc>
        <w:tc>
          <w:tcPr>
            <w:tcW w:type="dxa" w:w="3561"/>
            <w:vAlign w:val="top"/>
          </w:tcPr>
          <w:p>
            <w:pPr>
              <w:spacing w:after="0"/>
            </w:pPr>
            <w:r>
              <w:rPr>
                <w:rFonts w:ascii="Times New Roman" w:hAnsi="Times New Roman"/>
                <w:sz w:val="14"/>
              </w:rPr>
              <w:t>Wave-offering/presentation terminology applied to Levites.</w:t>
            </w:r>
          </w:p>
        </w:tc>
      </w:tr>
      <w:tr>
        <w:tc>
          <w:tcPr>
            <w:tcW w:type="dxa" w:w="3561"/>
            <w:vAlign w:val="top"/>
          </w:tcPr>
          <w:p>
            <w:pPr>
              <w:spacing w:after="0"/>
            </w:pPr>
            <w:r>
              <w:rPr>
                <w:rFonts w:ascii="Times New Roman" w:hAnsi="Times New Roman"/>
                <w:sz w:val="14"/>
              </w:rPr>
              <w:t>Num. 8:11 mechanics</w:t>
            </w:r>
          </w:p>
        </w:tc>
        <w:tc>
          <w:tcPr>
            <w:tcW w:type="dxa" w:w="3561"/>
            <w:vAlign w:val="top"/>
          </w:tcPr>
          <w:p>
            <w:pPr>
              <w:spacing w:after="0"/>
            </w:pPr>
            <w:r>
              <w:rPr>
                <w:rFonts w:ascii="Times New Roman" w:hAnsi="Times New Roman"/>
                <w:sz w:val="14"/>
              </w:rPr>
              <w:t>not described</w:t>
            </w:r>
          </w:p>
        </w:tc>
        <w:tc>
          <w:tcPr>
            <w:tcW w:type="dxa" w:w="3561"/>
            <w:vAlign w:val="top"/>
          </w:tcPr>
          <w:p>
            <w:pPr>
              <w:spacing w:after="0"/>
            </w:pPr>
            <w:r>
              <w:rPr>
                <w:rFonts w:ascii="Times New Roman" w:hAnsi="Times New Roman"/>
                <w:sz w:val="14"/>
              </w:rPr>
              <w:t>Aaron’s hand-waving reconstruction is speculative.</w:t>
            </w:r>
          </w:p>
        </w:tc>
      </w:tr>
      <w:tr>
        <w:tc>
          <w:tcPr>
            <w:tcW w:type="dxa" w:w="3561"/>
            <w:vAlign w:val="top"/>
          </w:tcPr>
          <w:p>
            <w:pPr>
              <w:spacing w:after="0"/>
            </w:pPr>
            <w:r>
              <w:rPr>
                <w:rFonts w:ascii="Times New Roman" w:hAnsi="Times New Roman"/>
                <w:sz w:val="14"/>
              </w:rPr>
              <w:t>Num. 8:12</w:t>
            </w:r>
          </w:p>
        </w:tc>
        <w:tc>
          <w:tcPr>
            <w:tcW w:type="dxa" w:w="3561"/>
            <w:vAlign w:val="top"/>
          </w:tcPr>
          <w:p>
            <w:pPr>
              <w:spacing w:after="0"/>
            </w:pPr>
            <w:r>
              <w:rPr>
                <w:rFonts w:ascii="Times New Roman" w:hAnsi="Times New Roman"/>
                <w:sz w:val="14"/>
              </w:rPr>
              <w:t>Levites lay hands on bulls</w:t>
            </w:r>
          </w:p>
        </w:tc>
        <w:tc>
          <w:tcPr>
            <w:tcW w:type="dxa" w:w="3561"/>
            <w:vAlign w:val="top"/>
          </w:tcPr>
          <w:p>
            <w:pPr>
              <w:spacing w:after="0"/>
            </w:pPr>
            <w:r>
              <w:rPr>
                <w:rFonts w:ascii="Times New Roman" w:hAnsi="Times New Roman"/>
                <w:sz w:val="14"/>
              </w:rPr>
              <w:t>Second stage of ritual identification.</w:t>
            </w:r>
          </w:p>
        </w:tc>
      </w:tr>
      <w:tr>
        <w:tc>
          <w:tcPr>
            <w:tcW w:type="dxa" w:w="3561"/>
            <w:vAlign w:val="top"/>
          </w:tcPr>
          <w:p>
            <w:pPr>
              <w:spacing w:after="0"/>
            </w:pPr>
            <w:r>
              <w:rPr>
                <w:rFonts w:ascii="Times New Roman" w:hAnsi="Times New Roman"/>
                <w:sz w:val="14"/>
              </w:rPr>
              <w:t>Num. 8:16–18</w:t>
            </w:r>
          </w:p>
        </w:tc>
        <w:tc>
          <w:tcPr>
            <w:tcW w:type="dxa" w:w="3561"/>
            <w:vAlign w:val="top"/>
          </w:tcPr>
          <w:p>
            <w:pPr>
              <w:spacing w:after="0"/>
            </w:pPr>
            <w:r>
              <w:rPr>
                <w:rFonts w:ascii="Times New Roman" w:hAnsi="Times New Roman"/>
                <w:sz w:val="14"/>
              </w:rPr>
              <w:t>instead of firstborn</w:t>
            </w:r>
          </w:p>
        </w:tc>
        <w:tc>
          <w:tcPr>
            <w:tcW w:type="dxa" w:w="3561"/>
            <w:vAlign w:val="top"/>
          </w:tcPr>
          <w:p>
            <w:pPr>
              <w:spacing w:after="0"/>
            </w:pPr>
            <w:r>
              <w:rPr>
                <w:rFonts w:ascii="Times New Roman" w:hAnsi="Times New Roman"/>
                <w:sz w:val="14"/>
              </w:rPr>
              <w:t>National service replacement.</w:t>
            </w:r>
          </w:p>
        </w:tc>
      </w:tr>
      <w:tr>
        <w:tc>
          <w:tcPr>
            <w:tcW w:type="dxa" w:w="3561"/>
            <w:vAlign w:val="top"/>
          </w:tcPr>
          <w:p>
            <w:pPr>
              <w:spacing w:after="0"/>
            </w:pPr>
            <w:r>
              <w:rPr>
                <w:rFonts w:ascii="Times New Roman" w:hAnsi="Times New Roman"/>
                <w:sz w:val="14"/>
              </w:rPr>
              <w:t>Num. 8:19</w:t>
            </w:r>
          </w:p>
        </w:tc>
        <w:tc>
          <w:tcPr>
            <w:tcW w:type="dxa" w:w="3561"/>
            <w:vAlign w:val="top"/>
          </w:tcPr>
          <w:p>
            <w:pPr>
              <w:spacing w:after="0"/>
            </w:pPr>
            <w:r>
              <w:rPr>
                <w:rFonts w:ascii="Times New Roman" w:hAnsi="Times New Roman"/>
                <w:sz w:val="14"/>
              </w:rPr>
              <w:t>kipper by Levite service</w:t>
            </w:r>
          </w:p>
        </w:tc>
        <w:tc>
          <w:tcPr>
            <w:tcW w:type="dxa" w:w="3561"/>
            <w:vAlign w:val="top"/>
          </w:tcPr>
          <w:p>
            <w:pPr>
              <w:spacing w:after="0"/>
            </w:pPr>
            <w:r>
              <w:rPr>
                <w:rFonts w:ascii="Times New Roman" w:hAnsi="Times New Roman"/>
                <w:sz w:val="14"/>
              </w:rPr>
              <w:t>Guarding/assisting role supports safe atonement; Levites do not perform priestly sacrifice.</w:t>
            </w:r>
          </w:p>
        </w:tc>
      </w:tr>
      <w:tr>
        <w:tc>
          <w:tcPr>
            <w:tcW w:type="dxa" w:w="3561"/>
            <w:vAlign w:val="top"/>
          </w:tcPr>
          <w:p>
            <w:pPr>
              <w:spacing w:after="0"/>
            </w:pPr>
            <w:r>
              <w:rPr>
                <w:rFonts w:ascii="Times New Roman" w:hAnsi="Times New Roman"/>
                <w:sz w:val="14"/>
              </w:rPr>
              <w:t>Num. 8:19</w:t>
            </w:r>
          </w:p>
        </w:tc>
        <w:tc>
          <w:tcPr>
            <w:tcW w:type="dxa" w:w="3561"/>
            <w:vAlign w:val="top"/>
          </w:tcPr>
          <w:p>
            <w:pPr>
              <w:spacing w:after="0"/>
            </w:pPr>
            <w:r>
              <w:rPr>
                <w:rFonts w:ascii="Times New Roman" w:hAnsi="Times New Roman"/>
                <w:sz w:val="14"/>
              </w:rPr>
              <w:t>negeph</w:t>
            </w:r>
          </w:p>
        </w:tc>
        <w:tc>
          <w:tcPr>
            <w:tcW w:type="dxa" w:w="3561"/>
            <w:vAlign w:val="top"/>
          </w:tcPr>
          <w:p>
            <w:pPr>
              <w:spacing w:after="0"/>
            </w:pPr>
            <w:r>
              <w:rPr>
                <w:rFonts w:ascii="Times New Roman" w:hAnsi="Times New Roman"/>
                <w:sz w:val="14"/>
              </w:rPr>
              <w:t>Blow/plague/striking judgment; “stumbling” should not be made the primary translation.</w:t>
            </w:r>
          </w:p>
        </w:tc>
      </w:tr>
      <w:tr>
        <w:tc>
          <w:tcPr>
            <w:tcW w:type="dxa" w:w="3561"/>
            <w:vAlign w:val="top"/>
          </w:tcPr>
          <w:p>
            <w:pPr>
              <w:spacing w:after="0"/>
            </w:pPr>
            <w:r>
              <w:rPr>
                <w:rFonts w:ascii="Times New Roman" w:hAnsi="Times New Roman"/>
                <w:sz w:val="14"/>
              </w:rPr>
              <w:t>Num. 8:24</w:t>
            </w:r>
          </w:p>
        </w:tc>
        <w:tc>
          <w:tcPr>
            <w:tcW w:type="dxa" w:w="3561"/>
            <w:vAlign w:val="top"/>
          </w:tcPr>
          <w:p>
            <w:pPr>
              <w:spacing w:after="0"/>
            </w:pPr>
            <w:r>
              <w:rPr>
                <w:rFonts w:ascii="Times New Roman" w:hAnsi="Times New Roman"/>
                <w:sz w:val="14"/>
              </w:rPr>
              <w:t>25 years</w:t>
            </w:r>
          </w:p>
        </w:tc>
        <w:tc>
          <w:tcPr>
            <w:tcW w:type="dxa" w:w="3561"/>
            <w:vAlign w:val="top"/>
          </w:tcPr>
          <w:p>
            <w:pPr>
              <w:spacing w:after="0"/>
            </w:pPr>
            <w:r>
              <w:rPr>
                <w:rFonts w:ascii="Times New Roman" w:hAnsi="Times New Roman"/>
                <w:sz w:val="14"/>
              </w:rPr>
              <w:t>Age to enter service-host in Masoretic text.</w:t>
            </w:r>
          </w:p>
        </w:tc>
      </w:tr>
      <w:tr>
        <w:tc>
          <w:tcPr>
            <w:tcW w:type="dxa" w:w="3561"/>
            <w:vAlign w:val="top"/>
          </w:tcPr>
          <w:p>
            <w:pPr>
              <w:spacing w:after="0"/>
            </w:pPr>
            <w:r>
              <w:rPr>
                <w:rFonts w:ascii="Times New Roman" w:hAnsi="Times New Roman"/>
                <w:sz w:val="14"/>
              </w:rPr>
              <w:t>Num. 4:3</w:t>
            </w:r>
          </w:p>
        </w:tc>
        <w:tc>
          <w:tcPr>
            <w:tcW w:type="dxa" w:w="3561"/>
            <w:vAlign w:val="top"/>
          </w:tcPr>
          <w:p>
            <w:pPr>
              <w:spacing w:after="0"/>
            </w:pPr>
            <w:r>
              <w:rPr>
                <w:rFonts w:ascii="Times New Roman" w:hAnsi="Times New Roman"/>
                <w:sz w:val="14"/>
              </w:rPr>
              <w:t>30 years</w:t>
            </w:r>
          </w:p>
        </w:tc>
        <w:tc>
          <w:tcPr>
            <w:tcW w:type="dxa" w:w="3561"/>
            <w:vAlign w:val="top"/>
          </w:tcPr>
          <w:p>
            <w:pPr>
              <w:spacing w:after="0"/>
            </w:pPr>
            <w:r>
              <w:rPr>
                <w:rFonts w:ascii="Times New Roman" w:hAnsi="Times New Roman"/>
                <w:sz w:val="14"/>
              </w:rPr>
              <w:t>Transport/service census threshold; relationship to 25 unresolved.</w:t>
            </w:r>
          </w:p>
        </w:tc>
      </w:tr>
      <w:tr>
        <w:tc>
          <w:tcPr>
            <w:tcW w:type="dxa" w:w="3561"/>
            <w:vAlign w:val="top"/>
          </w:tcPr>
          <w:p>
            <w:pPr>
              <w:spacing w:after="0"/>
            </w:pPr>
            <w:r>
              <w:rPr>
                <w:rFonts w:ascii="Times New Roman" w:hAnsi="Times New Roman"/>
                <w:sz w:val="14"/>
              </w:rPr>
              <w:t>LXX Num. 4:3</w:t>
            </w:r>
          </w:p>
        </w:tc>
        <w:tc>
          <w:tcPr>
            <w:tcW w:type="dxa" w:w="3561"/>
            <w:vAlign w:val="top"/>
          </w:tcPr>
          <w:p>
            <w:pPr>
              <w:spacing w:after="0"/>
            </w:pPr>
            <w:r>
              <w:rPr>
                <w:rFonts w:ascii="Times New Roman" w:hAnsi="Times New Roman"/>
                <w:sz w:val="14"/>
              </w:rPr>
              <w:t>25-year variant</w:t>
            </w:r>
          </w:p>
        </w:tc>
        <w:tc>
          <w:tcPr>
            <w:tcW w:type="dxa" w:w="3561"/>
            <w:vAlign w:val="top"/>
          </w:tcPr>
          <w:p>
            <w:pPr>
              <w:spacing w:after="0"/>
            </w:pPr>
            <w:r>
              <w:rPr>
                <w:rFonts w:ascii="Times New Roman" w:hAnsi="Times New Roman"/>
                <w:sz w:val="14"/>
              </w:rPr>
              <w:t>Ancient textual evidence relevant to age discrepancy.</w:t>
            </w:r>
          </w:p>
        </w:tc>
      </w:tr>
      <w:tr>
        <w:tc>
          <w:tcPr>
            <w:tcW w:type="dxa" w:w="3561"/>
            <w:vAlign w:val="top"/>
          </w:tcPr>
          <w:p>
            <w:pPr>
              <w:spacing w:after="0"/>
            </w:pPr>
            <w:r>
              <w:rPr>
                <w:rFonts w:ascii="Times New Roman" w:hAnsi="Times New Roman"/>
                <w:sz w:val="14"/>
              </w:rPr>
              <w:t>Num. 8:25–26</w:t>
            </w:r>
          </w:p>
        </w:tc>
        <w:tc>
          <w:tcPr>
            <w:tcW w:type="dxa" w:w="3561"/>
            <w:vAlign w:val="top"/>
          </w:tcPr>
          <w:p>
            <w:pPr>
              <w:spacing w:after="0"/>
            </w:pPr>
            <w:r>
              <w:rPr>
                <w:rFonts w:ascii="Times New Roman" w:hAnsi="Times New Roman"/>
                <w:sz w:val="14"/>
              </w:rPr>
              <w:t>retire from avodah, assist in charge</w:t>
            </w:r>
          </w:p>
        </w:tc>
        <w:tc>
          <w:tcPr>
            <w:tcW w:type="dxa" w:w="3561"/>
            <w:vAlign w:val="top"/>
          </w:tcPr>
          <w:p>
            <w:pPr>
              <w:spacing w:after="0"/>
            </w:pPr>
            <w:r>
              <w:rPr>
                <w:rFonts w:ascii="Times New Roman" w:hAnsi="Times New Roman"/>
                <w:sz w:val="14"/>
              </w:rPr>
              <w:t>Heavy/active service ends at fifty; useful assistance continues.</w:t>
            </w:r>
          </w:p>
        </w:tc>
      </w:tr>
    </w:tbl>
    <w:p>
      <w:pPr>
        <w:pStyle w:val="Heading1"/>
      </w:pPr>
      <w:r>
        <w:t>RESIDUAL UNCERTAINTIES</w:t>
      </w:r>
    </w:p>
    <w:p>
      <w:pPr/>
      <w:r>
        <w:rPr>
          <w:i w:val="0"/>
        </w:rPr>
        <w:t>The identity of the Numbers 8 purification water, the physical action behind presenting Levites as a wave offering, and the 25-versus-30 commencement age are not explicitly resolved by the text. Mansfield’s apprenticeship and hand-waving explanations are retained only as possible reconstructions.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