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10</w:t>
      </w:r>
    </w:p>
    <w:p>
      <w:pPr>
        <w:pStyle w:val="Subtitle"/>
      </w:pPr>
      <w:r>
        <w:t>SILVER TRUMPETS • DISTINCT SIGNALS • WAR AND WORSHIP • DEPARTURE FROM SINAI • THE TABERNACLE MOVES IN ORDER • HOBAB INVITED • THE ARK GOES BEFORE • RISE UP, YAHWEH</w:t>
      </w:r>
    </w:p>
    <w:p>
      <w:pPr/>
      <w:r>
        <w:rPr>
          <w:i/>
        </w:rPr>
        <w:t>H. P. Mansfield Bible notes — checked and arranged in verse-by-verse Expositor style</w:t>
      </w:r>
    </w:p>
    <w:p>
      <w:pPr/>
      <w:r>
        <w:rPr>
          <w:i w:val="0"/>
        </w:rPr>
        <w:t>Source: HPB 03-Lev12-Num36.PDF, Numbers 10 annotated pages; cross-checked with Mansfield’s Numbers Expositor Chapter 10.</w:t>
      </w:r>
    </w:p>
    <w:p>
      <w:pPr>
        <w:pStyle w:val="Heading1"/>
      </w:pPr>
      <w:r>
        <w:t>CHAPTER OVERVIEW</w:t>
      </w:r>
    </w:p>
    <w:p>
      <w:pPr/>
      <w:r>
        <w:rPr>
          <w:i w:val="0"/>
        </w:rPr>
        <w:t>Numbers 10 completes Israel’s preparation and records the first ordered departure from Sinai. The cloud reveals when Yahweh wants movement; the silver trumpets communicate distinct instructions through the camp.</w:t>
      </w:r>
    </w:p>
    <w:p>
      <w:pPr/>
      <w:r>
        <w:rPr>
          <w:i w:val="0"/>
        </w:rPr>
        <w:t>The chapter also shows that Divine guidance and human usefulness need not be rivals. Moses invites Hobab’s wilderness knowledge, but the text does not record Hobab’s final answer after Moses renews the invitation.</w:t>
      </w:r>
    </w:p>
    <w:p>
      <w:pPr>
        <w:pStyle w:val="Heading1"/>
      </w:pPr>
      <w:r>
        <w:t>THE TWO SILVER TRUMPETS — NUMBERS 10:1–10</w:t>
      </w:r>
    </w:p>
    <w:p>
      <w:pPr>
        <w:pStyle w:val="Heading2"/>
      </w:pPr>
      <w:r>
        <w:t>Numbers 10:1–2 — chatsotseroth of silver</w:t>
      </w:r>
    </w:p>
    <w:p>
      <w:pPr/>
      <w:r>
        <w:rPr>
          <w:i w:val="0"/>
        </w:rPr>
        <w:t>Moses is commanded to make two silver chatsotseroth, long priestly trumpets, as miqshah, hammered work. They are distinct from the shofar, the ram’s-horn trumpet.</w:t>
      </w:r>
    </w:p>
    <w:p>
      <w:pPr/>
      <w:r>
        <w:rPr>
          <w:i w:val="0"/>
        </w:rPr>
        <w:t>Their functions are practical: calling the assembly and directing the journey.</w:t>
      </w:r>
    </w:p>
    <w:p>
      <w:pPr>
        <w:pStyle w:val="Heading2"/>
      </w:pPr>
      <w:r>
        <w:t>Numbers 10:3–4 — two trumpets or one</w:t>
      </w:r>
    </w:p>
    <w:p>
      <w:pPr/>
      <w:r>
        <w:rPr>
          <w:i w:val="0"/>
        </w:rPr>
        <w:t>When both are blown, the whole congregation assembles at the Tent entrance; when one is blown, the tribal princes/heads assemble.</w:t>
      </w:r>
    </w:p>
    <w:p>
      <w:pPr/>
      <w:r>
        <w:rPr>
          <w:i w:val="0"/>
        </w:rPr>
        <w:t>Clear distinction of sound produces clear corporate response.</w:t>
      </w:r>
    </w:p>
    <w:p>
      <w:pPr>
        <w:pStyle w:val="Heading2"/>
      </w:pPr>
      <w:r>
        <w:t>Numbers 10:5–8 — teru‘ah for marching; priests alone blow</w:t>
      </w:r>
    </w:p>
    <w:p>
      <w:pPr/>
      <w:r>
        <w:rPr>
          <w:i w:val="0"/>
        </w:rPr>
        <w:t>A teru‘ah, alarm/blast signal, orders the camps to set forward. The eastward camps move with the first alarm and the southward camps with the second; the alarm pattern governs the journeys.</w:t>
      </w:r>
    </w:p>
    <w:p>
      <w:pPr/>
      <w:r>
        <w:rPr>
          <w:i w:val="0"/>
        </w:rPr>
        <w:t>When the congregation itself is simply assembled, the trumpets are blown without the alarm signal. Aaron’s priestly sons are appointed as the permanent trumpeters.</w:t>
      </w:r>
    </w:p>
    <w:p>
      <w:pPr>
        <w:pStyle w:val="Heading2"/>
      </w:pPr>
      <w:r>
        <w:t>Numbers 10:9–10 — war, gladness, appointed times and new moons</w:t>
      </w:r>
    </w:p>
    <w:p>
      <w:pPr/>
      <w:r>
        <w:rPr>
          <w:i w:val="0"/>
        </w:rPr>
        <w:t>In the land, alarm blasts in war are connected with being remembered before Yahweh and delivered from enemies. Trumpets are also sounded over burnt and peace offerings on glad days, appointed festivals and new moons.</w:t>
      </w:r>
    </w:p>
    <w:p>
      <w:pPr/>
      <w:r>
        <w:rPr>
          <w:i w:val="0"/>
        </w:rPr>
        <w:t>Mansfield’s link with 1 Corinthians 14:8—an uncertain trumpet sound failing to prepare for battle—is a strong verbal application, though Paul does not explicitly name Numbers 10.</w:t>
      </w:r>
    </w:p>
    <w:p>
      <w:pPr>
        <w:pStyle w:val="Heading1"/>
      </w:pPr>
      <w:r>
        <w:t>THE FIRST DEPARTURE FROM SINAI — NUMBERS 10:11–13</w:t>
      </w:r>
    </w:p>
    <w:p>
      <w:pPr>
        <w:pStyle w:val="Heading2"/>
      </w:pPr>
      <w:r>
        <w:t>Numbers 10:11 — twentieth day, second month, second year</w:t>
      </w:r>
    </w:p>
    <w:p>
      <w:pPr/>
      <w:r>
        <w:rPr>
          <w:i w:val="0"/>
        </w:rPr>
        <w:t>The cloud rises on the twentieth day of the second month. Numbers 1:1 began on the first day, so the formal departure comes less than three weeks after the census date.</w:t>
      </w:r>
    </w:p>
    <w:p>
      <w:pPr>
        <w:pStyle w:val="Heading2"/>
      </w:pPr>
      <w:r>
        <w:t>Numbers 10:12–13 — Sinai toward Paran</w:t>
      </w:r>
    </w:p>
    <w:p>
      <w:pPr/>
      <w:r>
        <w:rPr>
          <w:i w:val="0"/>
        </w:rPr>
        <w:t>Verse 12 summarises the movement from Sinai until the cloud eventually rests in the wilderness of Paran. The intervening detail continues through chapters 11–12 before 12:16 places Israel in Paran.</w:t>
      </w:r>
    </w:p>
    <w:p>
      <w:pPr/>
      <w:r>
        <w:rPr>
          <w:i w:val="0"/>
        </w:rPr>
        <w:t>The verse therefore functions as a journey summary, not a claim that the first campsite after Sinai was immediately Paran.</w:t>
      </w:r>
    </w:p>
    <w:p>
      <w:pPr>
        <w:pStyle w:val="Heading1"/>
      </w:pPr>
      <w:r>
        <w:t>THE MARCHING ORDER — NUMBERS 10:14–28</w:t>
      </w:r>
    </w:p>
    <w:p>
      <w:pPr>
        <w:pStyle w:val="Heading2"/>
      </w:pPr>
      <w:r>
        <w:t>Numbers 10:14–17 — Judah leads; Gershon and Merari follow</w:t>
      </w:r>
    </w:p>
    <w:p>
      <w:pPr/>
      <w:r>
        <w:rPr>
          <w:i w:val="0"/>
        </w:rPr>
        <w:t>Judah’s division leads with Issachar and Zebulun. Then the tabernacle is taken down and Gershonites and Merarites depart carrying the structure.</w:t>
      </w:r>
    </w:p>
    <w:p>
      <w:pPr/>
      <w:r>
        <w:rPr>
          <w:i w:val="0"/>
        </w:rPr>
        <w:t>This confirms the correction already made to a simplistic reading of Numbers 2:17: the entire sanctuary does not travel as one single central block.</w:t>
      </w:r>
    </w:p>
    <w:p>
      <w:pPr>
        <w:pStyle w:val="Heading2"/>
      </w:pPr>
      <w:r>
        <w:t>Numbers 10:18–21 — Reuben then Kohath</w:t>
      </w:r>
    </w:p>
    <w:p>
      <w:pPr/>
      <w:r>
        <w:rPr>
          <w:i w:val="0"/>
        </w:rPr>
        <w:t>Reuben’s division follows, and then the Kohathites depart carrying the covered holy furniture. Meanwhile the earlier Levites erect the tabernacle structure before Kohath arrives.</w:t>
      </w:r>
    </w:p>
    <w:p>
      <w:pPr/>
      <w:r>
        <w:rPr>
          <w:i w:val="0"/>
        </w:rPr>
        <w:t>Different ministries interlock so that the holy furniture can enter a prepared dwelling.</w:t>
      </w:r>
    </w:p>
    <w:p>
      <w:pPr>
        <w:pStyle w:val="Heading2"/>
      </w:pPr>
      <w:r>
        <w:t>Numbers 10:22–28 — Ephraim and Dan complete the host</w:t>
      </w:r>
    </w:p>
    <w:p>
      <w:pPr/>
      <w:r>
        <w:rPr>
          <w:i w:val="0"/>
        </w:rPr>
        <w:t>Ephraim’s division follows and Dan closes the marching order as the final/rear division.</w:t>
      </w:r>
    </w:p>
    <w:p>
      <w:pPr/>
      <w:r>
        <w:rPr>
          <w:i w:val="0"/>
        </w:rPr>
        <w:t>Mansfield’s sentences assembled from tribal and leader-name meanings are devotional constructions, not hidden inspired messages.</w:t>
      </w:r>
    </w:p>
    <w:p>
      <w:pPr>
        <w:pStyle w:val="Heading1"/>
      </w:pPr>
      <w:r>
        <w:t>HOBAB INVITED — NUMBERS 10:29–32</w:t>
      </w:r>
    </w:p>
    <w:p>
      <w:pPr>
        <w:pStyle w:val="Heading2"/>
      </w:pPr>
      <w:r>
        <w:t>Numbers 10:29 — a Midianite relative whose exact relationship is debated</w:t>
      </w:r>
    </w:p>
    <w:p>
      <w:pPr/>
      <w:r>
        <w:rPr>
          <w:i w:val="0"/>
        </w:rPr>
        <w:t>Hobab is identified as son of Reuel/Raguel the Midianite in a phrase involving Moses’ hoten, traditionally father-in-law/relative by marriage. Exodus and Judges use Reuel, Jethro and Hobab in ways that have produced longstanding debate over exact relationships.</w:t>
      </w:r>
    </w:p>
    <w:p>
      <w:pPr/>
      <w:r>
        <w:rPr>
          <w:i w:val="0"/>
        </w:rPr>
        <w:t>It is safest to call Hobab Moses’ Midianite relative by marriage rather than confidently fixing him as brother-in-law or father-in-law.</w:t>
      </w:r>
    </w:p>
    <w:p>
      <w:pPr>
        <w:pStyle w:val="Heading2"/>
      </w:pPr>
      <w:r>
        <w:t>Numbers 10:30–32 — initial refusal, renewed appeal, no recorded final answer</w:t>
      </w:r>
    </w:p>
    <w:p>
      <w:pPr/>
      <w:r>
        <w:rPr>
          <w:i w:val="0"/>
        </w:rPr>
        <w:t>Hobab initially says he will return to his land and kindred. Moses urges him not to leave, asking him to be “instead of eyes” because of his wilderness knowledge and promising him a share in Yahweh’s goodness.</w:t>
      </w:r>
    </w:p>
    <w:p>
      <w:pPr/>
      <w:r>
        <w:rPr>
          <w:i w:val="0"/>
        </w:rPr>
        <w:t>Numbers does not record Hobab’s final reply. Mansfield’s claim that he definitely refused and never joined Israel goes beyond the narrative. Later Kenite texts, including Judges 1:16 and 4:11, leave open the possibility that Hobab or his clan ultimately accompanied Israel.</w:t>
      </w:r>
    </w:p>
    <w:p>
      <w:pPr>
        <w:pStyle w:val="Heading2"/>
      </w:pPr>
      <w:r>
        <w:t>Human knowledge within Divine guidance</w:t>
      </w:r>
    </w:p>
    <w:p>
      <w:pPr/>
      <w:r>
        <w:rPr>
          <w:i w:val="0"/>
        </w:rPr>
        <w:t>The cloud determines Yahweh’s route, while a knowledgeable desert guide can assist with local conditions. The text need not be made into a conflict between faith and practical expertise.</w:t>
      </w:r>
    </w:p>
    <w:p>
      <w:pPr>
        <w:pStyle w:val="Heading1"/>
      </w:pPr>
      <w:r>
        <w:t>ARK, CLOUD AND MOSES’ PRAYERS — NUMBERS 10:33–36</w:t>
      </w:r>
    </w:p>
    <w:p>
      <w:pPr>
        <w:pStyle w:val="Heading2"/>
      </w:pPr>
      <w:r>
        <w:t>Numbers 10:33–34 — ark before them for three days</w:t>
      </w:r>
    </w:p>
    <w:p>
      <w:pPr/>
      <w:r>
        <w:rPr>
          <w:i w:val="0"/>
        </w:rPr>
        <w:t>For this stage the ark of Yahweh’s covenant goes before the people during a three-day journey to seek out a resting place, while Yahweh’s cloud is over them by day.</w:t>
      </w:r>
    </w:p>
    <w:p>
      <w:pPr/>
      <w:r>
        <w:rPr>
          <w:i w:val="0"/>
        </w:rPr>
        <w:t>This is an explicit exceptional forward role for the ark relative to the ordinary furniture order described earlier in the chapter.</w:t>
      </w:r>
    </w:p>
    <w:p>
      <w:pPr>
        <w:pStyle w:val="Heading2"/>
      </w:pPr>
      <w:r>
        <w:t>Numbers 10:35 — “Rise up, Yahweh”</w:t>
      </w:r>
    </w:p>
    <w:p>
      <w:pPr/>
      <w:r>
        <w:rPr>
          <w:i w:val="0"/>
        </w:rPr>
        <w:t>When the ark sets forward Moses prays for Yahweh to rise and scatter His enemies. Psalm 68:1 echoes this language.</w:t>
      </w:r>
    </w:p>
    <w:p>
      <w:pPr>
        <w:pStyle w:val="Heading2"/>
      </w:pPr>
      <w:r>
        <w:t>Numbers 10:36 — “Return, Yahweh”</w:t>
      </w:r>
    </w:p>
    <w:p>
      <w:pPr/>
      <w:r>
        <w:rPr>
          <w:i w:val="0"/>
        </w:rPr>
        <w:t>When the ark rests Moses calls upon Yahweh to return to the ribeboth alfei Yisrael, the vast myriads/thousands of Israel.</w:t>
      </w:r>
    </w:p>
    <w:p>
      <w:pPr/>
      <w:r>
        <w:rPr>
          <w:i w:val="0"/>
        </w:rPr>
        <w:t>KJV “many thousands” expresses the great host but is not a precise numerical count.</w:t>
      </w:r>
    </w:p>
    <w:p>
      <w:pPr>
        <w:pStyle w:val="Heading1"/>
      </w:pPr>
      <w:r>
        <w:t>PRINCIPAL THEMES</w:t>
      </w:r>
    </w:p>
    <w:p>
      <w:pPr>
        <w:ind w:left="259" w:hanging="202"/>
      </w:pPr>
      <w:r>
        <w:rPr>
          <w:b/>
        </w:rPr>
        <w:t xml:space="preserve">• </w:t>
      </w:r>
      <w:r>
        <w:t>The silver chatsotseroth are priestly trumpets distinct from the shofar.</w:t>
      </w:r>
    </w:p>
    <w:p>
      <w:pPr>
        <w:ind w:left="259" w:hanging="202"/>
      </w:pPr>
      <w:r>
        <w:rPr>
          <w:b/>
        </w:rPr>
        <w:t xml:space="preserve">• </w:t>
      </w:r>
      <w:r>
        <w:t>Different sounds summon congregation, leaders or marching camps.</w:t>
      </w:r>
    </w:p>
    <w:p>
      <w:pPr>
        <w:ind w:left="259" w:hanging="202"/>
      </w:pPr>
      <w:r>
        <w:rPr>
          <w:b/>
        </w:rPr>
        <w:t xml:space="preserve">• </w:t>
      </w:r>
      <w:r>
        <w:t>War and worship both remain under Yahweh’s covenant remembrance.</w:t>
      </w:r>
    </w:p>
    <w:p>
      <w:pPr>
        <w:ind w:left="259" w:hanging="202"/>
      </w:pPr>
      <w:r>
        <w:rPr>
          <w:b/>
        </w:rPr>
        <w:t xml:space="preserve">• </w:t>
      </w:r>
      <w:r>
        <w:t>Numbers 10:12 summarises movement toward Paran; chapters 11–12 supply intervening events.</w:t>
      </w:r>
    </w:p>
    <w:p>
      <w:pPr>
        <w:ind w:left="259" w:hanging="202"/>
      </w:pPr>
      <w:r>
        <w:rPr>
          <w:b/>
        </w:rPr>
        <w:t xml:space="preserve">• </w:t>
      </w:r>
      <w:r>
        <w:t>Detailed marching order shows sanctuary structure and furniture travelling in separate Levite groups.</w:t>
      </w:r>
    </w:p>
    <w:p>
      <w:pPr>
        <w:ind w:left="259" w:hanging="202"/>
      </w:pPr>
      <w:r>
        <w:rPr>
          <w:b/>
        </w:rPr>
        <w:t xml:space="preserve">• </w:t>
      </w:r>
      <w:r>
        <w:t>Hobab’s exact family relationship to Moses is debated across the biblical texts.</w:t>
      </w:r>
    </w:p>
    <w:p>
      <w:pPr>
        <w:ind w:left="259" w:hanging="202"/>
      </w:pPr>
      <w:r>
        <w:rPr>
          <w:b/>
        </w:rPr>
        <w:t xml:space="preserve">• </w:t>
      </w:r>
      <w:r>
        <w:t>Hobab’s initial refusal is recorded; his final answer is not.</w:t>
      </w:r>
    </w:p>
    <w:p>
      <w:pPr>
        <w:ind w:left="259" w:hanging="202"/>
      </w:pPr>
      <w:r>
        <w:rPr>
          <w:b/>
        </w:rPr>
        <w:t xml:space="preserve">• </w:t>
      </w:r>
      <w:r>
        <w:t>Practical human expertise can serve within—not replace—Divine guidance.</w:t>
      </w:r>
    </w:p>
    <w:p>
      <w:pPr>
        <w:ind w:left="259" w:hanging="202"/>
      </w:pPr>
      <w:r>
        <w:rPr>
          <w:b/>
        </w:rPr>
        <w:t xml:space="preserve">• </w:t>
      </w:r>
      <w:r>
        <w:t>The ark’s three-day forward movement and Moses’ prayers frame journey and rest in Yahweh’s presence.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10:2</w:t>
            </w:r>
          </w:p>
        </w:tc>
        <w:tc>
          <w:tcPr>
            <w:tcW w:type="dxa" w:w="3561"/>
            <w:vAlign w:val="top"/>
          </w:tcPr>
          <w:p>
            <w:pPr>
              <w:spacing w:after="0"/>
            </w:pPr>
            <w:r>
              <w:rPr>
                <w:rFonts w:ascii="Times New Roman" w:hAnsi="Times New Roman"/>
                <w:sz w:val="14"/>
              </w:rPr>
              <w:t>chatsotseroth</w:t>
            </w:r>
          </w:p>
        </w:tc>
        <w:tc>
          <w:tcPr>
            <w:tcW w:type="dxa" w:w="3561"/>
            <w:vAlign w:val="top"/>
          </w:tcPr>
          <w:p>
            <w:pPr>
              <w:spacing w:after="0"/>
            </w:pPr>
            <w:r>
              <w:rPr>
                <w:rFonts w:ascii="Times New Roman" w:hAnsi="Times New Roman"/>
                <w:sz w:val="14"/>
              </w:rPr>
              <w:t>Silver priestly trumpets; distinct from shofar.</w:t>
            </w:r>
          </w:p>
        </w:tc>
      </w:tr>
      <w:tr>
        <w:tc>
          <w:tcPr>
            <w:tcW w:type="dxa" w:w="3561"/>
            <w:vAlign w:val="top"/>
          </w:tcPr>
          <w:p>
            <w:pPr>
              <w:spacing w:after="0"/>
            </w:pPr>
            <w:r>
              <w:rPr>
                <w:rFonts w:ascii="Times New Roman" w:hAnsi="Times New Roman"/>
                <w:sz w:val="14"/>
              </w:rPr>
              <w:t>Num. 10:2</w:t>
            </w:r>
          </w:p>
        </w:tc>
        <w:tc>
          <w:tcPr>
            <w:tcW w:type="dxa" w:w="3561"/>
            <w:vAlign w:val="top"/>
          </w:tcPr>
          <w:p>
            <w:pPr>
              <w:spacing w:after="0"/>
            </w:pPr>
            <w:r>
              <w:rPr>
                <w:rFonts w:ascii="Times New Roman" w:hAnsi="Times New Roman"/>
                <w:sz w:val="14"/>
              </w:rPr>
              <w:t>miqshah</w:t>
            </w:r>
          </w:p>
        </w:tc>
        <w:tc>
          <w:tcPr>
            <w:tcW w:type="dxa" w:w="3561"/>
            <w:vAlign w:val="top"/>
          </w:tcPr>
          <w:p>
            <w:pPr>
              <w:spacing w:after="0"/>
            </w:pPr>
            <w:r>
              <w:rPr>
                <w:rFonts w:ascii="Times New Roman" w:hAnsi="Times New Roman"/>
                <w:sz w:val="14"/>
              </w:rPr>
              <w:t>Hammered work.</w:t>
            </w:r>
          </w:p>
        </w:tc>
      </w:tr>
      <w:tr>
        <w:tc>
          <w:tcPr>
            <w:tcW w:type="dxa" w:w="3561"/>
            <w:vAlign w:val="top"/>
          </w:tcPr>
          <w:p>
            <w:pPr>
              <w:spacing w:after="0"/>
            </w:pPr>
            <w:r>
              <w:rPr>
                <w:rFonts w:ascii="Times New Roman" w:hAnsi="Times New Roman"/>
                <w:sz w:val="14"/>
              </w:rPr>
              <w:t>Num. 10:3–4</w:t>
            </w:r>
          </w:p>
        </w:tc>
        <w:tc>
          <w:tcPr>
            <w:tcW w:type="dxa" w:w="3561"/>
            <w:vAlign w:val="top"/>
          </w:tcPr>
          <w:p>
            <w:pPr>
              <w:spacing w:after="0"/>
            </w:pPr>
            <w:r>
              <w:rPr>
                <w:rFonts w:ascii="Times New Roman" w:hAnsi="Times New Roman"/>
                <w:sz w:val="14"/>
              </w:rPr>
              <w:t>both / one trumpet</w:t>
            </w:r>
          </w:p>
        </w:tc>
        <w:tc>
          <w:tcPr>
            <w:tcW w:type="dxa" w:w="3561"/>
            <w:vAlign w:val="top"/>
          </w:tcPr>
          <w:p>
            <w:pPr>
              <w:spacing w:after="0"/>
            </w:pPr>
            <w:r>
              <w:rPr>
                <w:rFonts w:ascii="Times New Roman" w:hAnsi="Times New Roman"/>
                <w:sz w:val="14"/>
              </w:rPr>
              <w:t>Assembly / princes distinction.</w:t>
            </w:r>
          </w:p>
        </w:tc>
      </w:tr>
      <w:tr>
        <w:tc>
          <w:tcPr>
            <w:tcW w:type="dxa" w:w="3561"/>
            <w:vAlign w:val="top"/>
          </w:tcPr>
          <w:p>
            <w:pPr>
              <w:spacing w:after="0"/>
            </w:pPr>
            <w:r>
              <w:rPr>
                <w:rFonts w:ascii="Times New Roman" w:hAnsi="Times New Roman"/>
                <w:sz w:val="14"/>
              </w:rPr>
              <w:t>Num. 10:5–7</w:t>
            </w:r>
          </w:p>
        </w:tc>
        <w:tc>
          <w:tcPr>
            <w:tcW w:type="dxa" w:w="3561"/>
            <w:vAlign w:val="top"/>
          </w:tcPr>
          <w:p>
            <w:pPr>
              <w:spacing w:after="0"/>
            </w:pPr>
            <w:r>
              <w:rPr>
                <w:rFonts w:ascii="Times New Roman" w:hAnsi="Times New Roman"/>
                <w:sz w:val="14"/>
              </w:rPr>
              <w:t>teru‘ah vs ordinary blowing</w:t>
            </w:r>
          </w:p>
        </w:tc>
        <w:tc>
          <w:tcPr>
            <w:tcW w:type="dxa" w:w="3561"/>
            <w:vAlign w:val="top"/>
          </w:tcPr>
          <w:p>
            <w:pPr>
              <w:spacing w:after="0"/>
            </w:pPr>
            <w:r>
              <w:rPr>
                <w:rFonts w:ascii="Times New Roman" w:hAnsi="Times New Roman"/>
                <w:sz w:val="14"/>
              </w:rPr>
              <w:t>Alarm signal for journeys; non-alarm blow for assembly.</w:t>
            </w:r>
          </w:p>
        </w:tc>
      </w:tr>
      <w:tr>
        <w:tc>
          <w:tcPr>
            <w:tcW w:type="dxa" w:w="3561"/>
            <w:vAlign w:val="top"/>
          </w:tcPr>
          <w:p>
            <w:pPr>
              <w:spacing w:after="0"/>
            </w:pPr>
            <w:r>
              <w:rPr>
                <w:rFonts w:ascii="Times New Roman" w:hAnsi="Times New Roman"/>
                <w:sz w:val="14"/>
              </w:rPr>
              <w:t>Num. 10:8</w:t>
            </w:r>
          </w:p>
        </w:tc>
        <w:tc>
          <w:tcPr>
            <w:tcW w:type="dxa" w:w="3561"/>
            <w:vAlign w:val="top"/>
          </w:tcPr>
          <w:p>
            <w:pPr>
              <w:spacing w:after="0"/>
            </w:pPr>
            <w:r>
              <w:rPr>
                <w:rFonts w:ascii="Times New Roman" w:hAnsi="Times New Roman"/>
                <w:sz w:val="14"/>
              </w:rPr>
              <w:t>sons of Aaron</w:t>
            </w:r>
          </w:p>
        </w:tc>
        <w:tc>
          <w:tcPr>
            <w:tcW w:type="dxa" w:w="3561"/>
            <w:vAlign w:val="top"/>
          </w:tcPr>
          <w:p>
            <w:pPr>
              <w:spacing w:after="0"/>
            </w:pPr>
            <w:r>
              <w:rPr>
                <w:rFonts w:ascii="Times New Roman" w:hAnsi="Times New Roman"/>
                <w:sz w:val="14"/>
              </w:rPr>
              <w:t>Priests permanently assigned trumpet duty.</w:t>
            </w:r>
          </w:p>
        </w:tc>
      </w:tr>
      <w:tr>
        <w:tc>
          <w:tcPr>
            <w:tcW w:type="dxa" w:w="3561"/>
            <w:vAlign w:val="top"/>
          </w:tcPr>
          <w:p>
            <w:pPr>
              <w:spacing w:after="0"/>
            </w:pPr>
            <w:r>
              <w:rPr>
                <w:rFonts w:ascii="Times New Roman" w:hAnsi="Times New Roman"/>
                <w:sz w:val="14"/>
              </w:rPr>
              <w:t>Num. 10:9</w:t>
            </w:r>
          </w:p>
        </w:tc>
        <w:tc>
          <w:tcPr>
            <w:tcW w:type="dxa" w:w="3561"/>
            <w:vAlign w:val="top"/>
          </w:tcPr>
          <w:p>
            <w:pPr>
              <w:spacing w:after="0"/>
            </w:pPr>
            <w:r>
              <w:rPr>
                <w:rFonts w:ascii="Times New Roman" w:hAnsi="Times New Roman"/>
                <w:sz w:val="14"/>
              </w:rPr>
              <w:t>war remembrance</w:t>
            </w:r>
          </w:p>
        </w:tc>
        <w:tc>
          <w:tcPr>
            <w:tcW w:type="dxa" w:w="3561"/>
            <w:vAlign w:val="top"/>
          </w:tcPr>
          <w:p>
            <w:pPr>
              <w:spacing w:after="0"/>
            </w:pPr>
            <w:r>
              <w:rPr>
                <w:rFonts w:ascii="Times New Roman" w:hAnsi="Times New Roman"/>
                <w:sz w:val="14"/>
              </w:rPr>
              <w:t>Trumpet call linked with Yahweh’s deliverance.</w:t>
            </w:r>
          </w:p>
        </w:tc>
      </w:tr>
      <w:tr>
        <w:tc>
          <w:tcPr>
            <w:tcW w:type="dxa" w:w="3561"/>
            <w:vAlign w:val="top"/>
          </w:tcPr>
          <w:p>
            <w:pPr>
              <w:spacing w:after="0"/>
            </w:pPr>
            <w:r>
              <w:rPr>
                <w:rFonts w:ascii="Times New Roman" w:hAnsi="Times New Roman"/>
                <w:sz w:val="14"/>
              </w:rPr>
              <w:t>Num. 10:10</w:t>
            </w:r>
          </w:p>
        </w:tc>
        <w:tc>
          <w:tcPr>
            <w:tcW w:type="dxa" w:w="3561"/>
            <w:vAlign w:val="top"/>
          </w:tcPr>
          <w:p>
            <w:pPr>
              <w:spacing w:after="0"/>
            </w:pPr>
            <w:r>
              <w:rPr>
                <w:rFonts w:ascii="Times New Roman" w:hAnsi="Times New Roman"/>
                <w:sz w:val="14"/>
              </w:rPr>
              <w:t>festivals/new moons</w:t>
            </w:r>
          </w:p>
        </w:tc>
        <w:tc>
          <w:tcPr>
            <w:tcW w:type="dxa" w:w="3561"/>
            <w:vAlign w:val="top"/>
          </w:tcPr>
          <w:p>
            <w:pPr>
              <w:spacing w:after="0"/>
            </w:pPr>
            <w:r>
              <w:rPr>
                <w:rFonts w:ascii="Times New Roman" w:hAnsi="Times New Roman"/>
                <w:sz w:val="14"/>
              </w:rPr>
              <w:t>Trumpets over burnt and peace offerings.</w:t>
            </w:r>
          </w:p>
        </w:tc>
      </w:tr>
      <w:tr>
        <w:tc>
          <w:tcPr>
            <w:tcW w:type="dxa" w:w="3561"/>
            <w:vAlign w:val="top"/>
          </w:tcPr>
          <w:p>
            <w:pPr>
              <w:spacing w:after="0"/>
            </w:pPr>
            <w:r>
              <w:rPr>
                <w:rFonts w:ascii="Times New Roman" w:hAnsi="Times New Roman"/>
                <w:sz w:val="14"/>
              </w:rPr>
              <w:t>1 Cor. 14:8</w:t>
            </w:r>
          </w:p>
        </w:tc>
        <w:tc>
          <w:tcPr>
            <w:tcW w:type="dxa" w:w="3561"/>
            <w:vAlign w:val="top"/>
          </w:tcPr>
          <w:p>
            <w:pPr>
              <w:spacing w:after="0"/>
            </w:pPr>
            <w:r>
              <w:rPr>
                <w:rFonts w:ascii="Times New Roman" w:hAnsi="Times New Roman"/>
                <w:sz w:val="14"/>
              </w:rPr>
              <w:t>uncertain trumpet sound</w:t>
            </w:r>
          </w:p>
        </w:tc>
        <w:tc>
          <w:tcPr>
            <w:tcW w:type="dxa" w:w="3561"/>
            <w:vAlign w:val="top"/>
          </w:tcPr>
          <w:p>
            <w:pPr>
              <w:spacing w:after="0"/>
            </w:pPr>
            <w:r>
              <w:rPr>
                <w:rFonts w:ascii="Times New Roman" w:hAnsi="Times New Roman"/>
                <w:sz w:val="14"/>
              </w:rPr>
              <w:t>Strong application to clarity; Numbers 10 not explicitly cited by Paul.</w:t>
            </w:r>
          </w:p>
        </w:tc>
      </w:tr>
      <w:tr>
        <w:tc>
          <w:tcPr>
            <w:tcW w:type="dxa" w:w="3561"/>
            <w:vAlign w:val="top"/>
          </w:tcPr>
          <w:p>
            <w:pPr>
              <w:spacing w:after="0"/>
            </w:pPr>
            <w:r>
              <w:rPr>
                <w:rFonts w:ascii="Times New Roman" w:hAnsi="Times New Roman"/>
                <w:sz w:val="14"/>
              </w:rPr>
              <w:t>Num. 10:11</w:t>
            </w:r>
          </w:p>
        </w:tc>
        <w:tc>
          <w:tcPr>
            <w:tcW w:type="dxa" w:w="3561"/>
            <w:vAlign w:val="top"/>
          </w:tcPr>
          <w:p>
            <w:pPr>
              <w:spacing w:after="0"/>
            </w:pPr>
            <w:r>
              <w:rPr>
                <w:rFonts w:ascii="Times New Roman" w:hAnsi="Times New Roman"/>
                <w:sz w:val="14"/>
              </w:rPr>
              <w:t>20th day, month 2, year 2</w:t>
            </w:r>
          </w:p>
        </w:tc>
        <w:tc>
          <w:tcPr>
            <w:tcW w:type="dxa" w:w="3561"/>
            <w:vAlign w:val="top"/>
          </w:tcPr>
          <w:p>
            <w:pPr>
              <w:spacing w:after="0"/>
            </w:pPr>
            <w:r>
              <w:rPr>
                <w:rFonts w:ascii="Times New Roman" w:hAnsi="Times New Roman"/>
                <w:sz w:val="14"/>
              </w:rPr>
              <w:t>Departure date.</w:t>
            </w:r>
          </w:p>
        </w:tc>
      </w:tr>
      <w:tr>
        <w:tc>
          <w:tcPr>
            <w:tcW w:type="dxa" w:w="3561"/>
            <w:vAlign w:val="top"/>
          </w:tcPr>
          <w:p>
            <w:pPr>
              <w:spacing w:after="0"/>
            </w:pPr>
            <w:r>
              <w:rPr>
                <w:rFonts w:ascii="Times New Roman" w:hAnsi="Times New Roman"/>
                <w:sz w:val="14"/>
              </w:rPr>
              <w:t>Num. 10:12</w:t>
            </w:r>
          </w:p>
        </w:tc>
        <w:tc>
          <w:tcPr>
            <w:tcW w:type="dxa" w:w="3561"/>
            <w:vAlign w:val="top"/>
          </w:tcPr>
          <w:p>
            <w:pPr>
              <w:spacing w:after="0"/>
            </w:pPr>
            <w:r>
              <w:rPr>
                <w:rFonts w:ascii="Times New Roman" w:hAnsi="Times New Roman"/>
                <w:sz w:val="14"/>
              </w:rPr>
              <w:t>Paran summary</w:t>
            </w:r>
          </w:p>
        </w:tc>
        <w:tc>
          <w:tcPr>
            <w:tcW w:type="dxa" w:w="3561"/>
            <w:vAlign w:val="top"/>
          </w:tcPr>
          <w:p>
            <w:pPr>
              <w:spacing w:after="0"/>
            </w:pPr>
            <w:r>
              <w:rPr>
                <w:rFonts w:ascii="Times New Roman" w:hAnsi="Times New Roman"/>
                <w:sz w:val="14"/>
              </w:rPr>
              <w:t>Subsequent chapters provide intervening route events.</w:t>
            </w:r>
          </w:p>
        </w:tc>
      </w:tr>
      <w:tr>
        <w:tc>
          <w:tcPr>
            <w:tcW w:type="dxa" w:w="3561"/>
            <w:vAlign w:val="top"/>
          </w:tcPr>
          <w:p>
            <w:pPr>
              <w:spacing w:after="0"/>
            </w:pPr>
            <w:r>
              <w:rPr>
                <w:rFonts w:ascii="Times New Roman" w:hAnsi="Times New Roman"/>
                <w:sz w:val="14"/>
              </w:rPr>
              <w:t>Num. 10:17</w:t>
            </w:r>
          </w:p>
        </w:tc>
        <w:tc>
          <w:tcPr>
            <w:tcW w:type="dxa" w:w="3561"/>
            <w:vAlign w:val="top"/>
          </w:tcPr>
          <w:p>
            <w:pPr>
              <w:spacing w:after="0"/>
            </w:pPr>
            <w:r>
              <w:rPr>
                <w:rFonts w:ascii="Times New Roman" w:hAnsi="Times New Roman"/>
                <w:sz w:val="14"/>
              </w:rPr>
              <w:t>Gershon/Merari after Judah</w:t>
            </w:r>
          </w:p>
        </w:tc>
        <w:tc>
          <w:tcPr>
            <w:tcW w:type="dxa" w:w="3561"/>
            <w:vAlign w:val="top"/>
          </w:tcPr>
          <w:p>
            <w:pPr>
              <w:spacing w:after="0"/>
            </w:pPr>
            <w:r>
              <w:rPr>
                <w:rFonts w:ascii="Times New Roman" w:hAnsi="Times New Roman"/>
                <w:sz w:val="14"/>
              </w:rPr>
              <w:t>Tabernacle structure moves before furniture.</w:t>
            </w:r>
          </w:p>
        </w:tc>
      </w:tr>
      <w:tr>
        <w:tc>
          <w:tcPr>
            <w:tcW w:type="dxa" w:w="3561"/>
            <w:vAlign w:val="top"/>
          </w:tcPr>
          <w:p>
            <w:pPr>
              <w:spacing w:after="0"/>
            </w:pPr>
            <w:r>
              <w:rPr>
                <w:rFonts w:ascii="Times New Roman" w:hAnsi="Times New Roman"/>
                <w:sz w:val="14"/>
              </w:rPr>
              <w:t>Num. 10:21</w:t>
            </w:r>
          </w:p>
        </w:tc>
        <w:tc>
          <w:tcPr>
            <w:tcW w:type="dxa" w:w="3561"/>
            <w:vAlign w:val="top"/>
          </w:tcPr>
          <w:p>
            <w:pPr>
              <w:spacing w:after="0"/>
            </w:pPr>
            <w:r>
              <w:rPr>
                <w:rFonts w:ascii="Times New Roman" w:hAnsi="Times New Roman"/>
                <w:sz w:val="14"/>
              </w:rPr>
              <w:t>Kohath after Reuben</w:t>
            </w:r>
          </w:p>
        </w:tc>
        <w:tc>
          <w:tcPr>
            <w:tcW w:type="dxa" w:w="3561"/>
            <w:vAlign w:val="top"/>
          </w:tcPr>
          <w:p>
            <w:pPr>
              <w:spacing w:after="0"/>
            </w:pPr>
            <w:r>
              <w:rPr>
                <w:rFonts w:ascii="Times New Roman" w:hAnsi="Times New Roman"/>
                <w:sz w:val="14"/>
              </w:rPr>
              <w:t>Holy furniture arrives after structure can be erected.</w:t>
            </w:r>
          </w:p>
        </w:tc>
      </w:tr>
      <w:tr>
        <w:tc>
          <w:tcPr>
            <w:tcW w:type="dxa" w:w="3561"/>
            <w:vAlign w:val="top"/>
          </w:tcPr>
          <w:p>
            <w:pPr>
              <w:spacing w:after="0"/>
            </w:pPr>
            <w:r>
              <w:rPr>
                <w:rFonts w:ascii="Times New Roman" w:hAnsi="Times New Roman"/>
                <w:sz w:val="14"/>
              </w:rPr>
              <w:t>Num. 10:29</w:t>
            </w:r>
          </w:p>
        </w:tc>
        <w:tc>
          <w:tcPr>
            <w:tcW w:type="dxa" w:w="3561"/>
            <w:vAlign w:val="top"/>
          </w:tcPr>
          <w:p>
            <w:pPr>
              <w:spacing w:after="0"/>
            </w:pPr>
            <w:r>
              <w:rPr>
                <w:rFonts w:ascii="Times New Roman" w:hAnsi="Times New Roman"/>
                <w:sz w:val="14"/>
              </w:rPr>
              <w:t>Hobab/Reuel/hoten</w:t>
            </w:r>
          </w:p>
        </w:tc>
        <w:tc>
          <w:tcPr>
            <w:tcW w:type="dxa" w:w="3561"/>
            <w:vAlign w:val="top"/>
          </w:tcPr>
          <w:p>
            <w:pPr>
              <w:spacing w:after="0"/>
            </w:pPr>
            <w:r>
              <w:rPr>
                <w:rFonts w:ascii="Times New Roman" w:hAnsi="Times New Roman"/>
                <w:sz w:val="14"/>
              </w:rPr>
              <w:t>Exact kinship terminology debated.</w:t>
            </w:r>
          </w:p>
        </w:tc>
      </w:tr>
      <w:tr>
        <w:tc>
          <w:tcPr>
            <w:tcW w:type="dxa" w:w="3561"/>
            <w:vAlign w:val="top"/>
          </w:tcPr>
          <w:p>
            <w:pPr>
              <w:spacing w:after="0"/>
            </w:pPr>
            <w:r>
              <w:rPr>
                <w:rFonts w:ascii="Times New Roman" w:hAnsi="Times New Roman"/>
                <w:sz w:val="14"/>
              </w:rPr>
              <w:t>Num. 10:30–32</w:t>
            </w:r>
          </w:p>
        </w:tc>
        <w:tc>
          <w:tcPr>
            <w:tcW w:type="dxa" w:w="3561"/>
            <w:vAlign w:val="top"/>
          </w:tcPr>
          <w:p>
            <w:pPr>
              <w:spacing w:after="0"/>
            </w:pPr>
            <w:r>
              <w:rPr>
                <w:rFonts w:ascii="Times New Roman" w:hAnsi="Times New Roman"/>
                <w:sz w:val="14"/>
              </w:rPr>
              <w:t>Hobab’s answer</w:t>
            </w:r>
          </w:p>
        </w:tc>
        <w:tc>
          <w:tcPr>
            <w:tcW w:type="dxa" w:w="3561"/>
            <w:vAlign w:val="top"/>
          </w:tcPr>
          <w:p>
            <w:pPr>
              <w:spacing w:after="0"/>
            </w:pPr>
            <w:r>
              <w:rPr>
                <w:rFonts w:ascii="Times New Roman" w:hAnsi="Times New Roman"/>
                <w:sz w:val="14"/>
              </w:rPr>
              <w:t>Initial refusal recorded; no final reply stated.</w:t>
            </w:r>
          </w:p>
        </w:tc>
      </w:tr>
      <w:tr>
        <w:tc>
          <w:tcPr>
            <w:tcW w:type="dxa" w:w="3561"/>
            <w:vAlign w:val="top"/>
          </w:tcPr>
          <w:p>
            <w:pPr>
              <w:spacing w:after="0"/>
            </w:pPr>
            <w:r>
              <w:rPr>
                <w:rFonts w:ascii="Times New Roman" w:hAnsi="Times New Roman"/>
                <w:sz w:val="14"/>
              </w:rPr>
              <w:t>Judg. 1:16; 4:11</w:t>
            </w:r>
          </w:p>
        </w:tc>
        <w:tc>
          <w:tcPr>
            <w:tcW w:type="dxa" w:w="3561"/>
            <w:vAlign w:val="top"/>
          </w:tcPr>
          <w:p>
            <w:pPr>
              <w:spacing w:after="0"/>
            </w:pPr>
            <w:r>
              <w:rPr>
                <w:rFonts w:ascii="Times New Roman" w:hAnsi="Times New Roman"/>
                <w:sz w:val="14"/>
              </w:rPr>
              <w:t>Kenite/Hobab connections</w:t>
            </w:r>
          </w:p>
        </w:tc>
        <w:tc>
          <w:tcPr>
            <w:tcW w:type="dxa" w:w="3561"/>
            <w:vAlign w:val="top"/>
          </w:tcPr>
          <w:p>
            <w:pPr>
              <w:spacing w:after="0"/>
            </w:pPr>
            <w:r>
              <w:rPr>
                <w:rFonts w:ascii="Times New Roman" w:hAnsi="Times New Roman"/>
                <w:sz w:val="14"/>
              </w:rPr>
              <w:t>Later evidence cautions against claiming Hobab never joined.</w:t>
            </w:r>
          </w:p>
        </w:tc>
      </w:tr>
      <w:tr>
        <w:tc>
          <w:tcPr>
            <w:tcW w:type="dxa" w:w="3561"/>
            <w:vAlign w:val="top"/>
          </w:tcPr>
          <w:p>
            <w:pPr>
              <w:spacing w:after="0"/>
            </w:pPr>
            <w:r>
              <w:rPr>
                <w:rFonts w:ascii="Times New Roman" w:hAnsi="Times New Roman"/>
                <w:sz w:val="14"/>
              </w:rPr>
              <w:t>Num. 10:33</w:t>
            </w:r>
          </w:p>
        </w:tc>
        <w:tc>
          <w:tcPr>
            <w:tcW w:type="dxa" w:w="3561"/>
            <w:vAlign w:val="top"/>
          </w:tcPr>
          <w:p>
            <w:pPr>
              <w:spacing w:after="0"/>
            </w:pPr>
            <w:r>
              <w:rPr>
                <w:rFonts w:ascii="Times New Roman" w:hAnsi="Times New Roman"/>
                <w:sz w:val="14"/>
              </w:rPr>
              <w:t>ark goes before three days</w:t>
            </w:r>
          </w:p>
        </w:tc>
        <w:tc>
          <w:tcPr>
            <w:tcW w:type="dxa" w:w="3561"/>
            <w:vAlign w:val="top"/>
          </w:tcPr>
          <w:p>
            <w:pPr>
              <w:spacing w:after="0"/>
            </w:pPr>
            <w:r>
              <w:rPr>
                <w:rFonts w:ascii="Times New Roman" w:hAnsi="Times New Roman"/>
                <w:sz w:val="14"/>
              </w:rPr>
              <w:t>Explicit forward placement for this journey stage.</w:t>
            </w:r>
          </w:p>
        </w:tc>
      </w:tr>
      <w:tr>
        <w:tc>
          <w:tcPr>
            <w:tcW w:type="dxa" w:w="3561"/>
            <w:vAlign w:val="top"/>
          </w:tcPr>
          <w:p>
            <w:pPr>
              <w:spacing w:after="0"/>
            </w:pPr>
            <w:r>
              <w:rPr>
                <w:rFonts w:ascii="Times New Roman" w:hAnsi="Times New Roman"/>
                <w:sz w:val="14"/>
              </w:rPr>
              <w:t>Num. 10:35</w:t>
            </w:r>
          </w:p>
        </w:tc>
        <w:tc>
          <w:tcPr>
            <w:tcW w:type="dxa" w:w="3561"/>
            <w:vAlign w:val="top"/>
          </w:tcPr>
          <w:p>
            <w:pPr>
              <w:spacing w:after="0"/>
            </w:pPr>
            <w:r>
              <w:rPr>
                <w:rFonts w:ascii="Times New Roman" w:hAnsi="Times New Roman"/>
                <w:sz w:val="14"/>
              </w:rPr>
              <w:t>Rise up Yahweh</w:t>
            </w:r>
          </w:p>
        </w:tc>
        <w:tc>
          <w:tcPr>
            <w:tcW w:type="dxa" w:w="3561"/>
            <w:vAlign w:val="top"/>
          </w:tcPr>
          <w:p>
            <w:pPr>
              <w:spacing w:after="0"/>
            </w:pPr>
            <w:r>
              <w:rPr>
                <w:rFonts w:ascii="Times New Roman" w:hAnsi="Times New Roman"/>
                <w:sz w:val="14"/>
              </w:rPr>
              <w:t>Compare Ps. 68:1.</w:t>
            </w:r>
          </w:p>
        </w:tc>
      </w:tr>
      <w:tr>
        <w:tc>
          <w:tcPr>
            <w:tcW w:type="dxa" w:w="3561"/>
            <w:vAlign w:val="top"/>
          </w:tcPr>
          <w:p>
            <w:pPr>
              <w:spacing w:after="0"/>
            </w:pPr>
            <w:r>
              <w:rPr>
                <w:rFonts w:ascii="Times New Roman" w:hAnsi="Times New Roman"/>
                <w:sz w:val="14"/>
              </w:rPr>
              <w:t>Num. 10:36</w:t>
            </w:r>
          </w:p>
        </w:tc>
        <w:tc>
          <w:tcPr>
            <w:tcW w:type="dxa" w:w="3561"/>
            <w:vAlign w:val="top"/>
          </w:tcPr>
          <w:p>
            <w:pPr>
              <w:spacing w:after="0"/>
            </w:pPr>
            <w:r>
              <w:rPr>
                <w:rFonts w:ascii="Times New Roman" w:hAnsi="Times New Roman"/>
                <w:sz w:val="14"/>
              </w:rPr>
              <w:t>ribeboth alfei</w:t>
            </w:r>
          </w:p>
        </w:tc>
        <w:tc>
          <w:tcPr>
            <w:tcW w:type="dxa" w:w="3561"/>
            <w:vAlign w:val="top"/>
          </w:tcPr>
          <w:p>
            <w:pPr>
              <w:spacing w:after="0"/>
            </w:pPr>
            <w:r>
              <w:rPr>
                <w:rFonts w:ascii="Times New Roman" w:hAnsi="Times New Roman"/>
                <w:sz w:val="14"/>
              </w:rPr>
              <w:t>Myriads/thousands; very large host.</w:t>
            </w:r>
          </w:p>
        </w:tc>
      </w:tr>
    </w:tbl>
    <w:p>
      <w:pPr>
        <w:pStyle w:val="Heading1"/>
      </w:pPr>
      <w:r>
        <w:t>RESIDUAL UNCERTAINTIES</w:t>
      </w:r>
    </w:p>
    <w:p>
      <w:pPr/>
      <w:r>
        <w:rPr>
          <w:i w:val="0"/>
        </w:rPr>
        <w:t>The exact relationship among Hobab, Reuel and Jethro remains debated, as does whether Hobab personally accepted Moses’ renewed appeal; later Kenite passages are suggestive but not conclusive. The mechanics of the various trumpet signals are clear in principle but the precise musical pattern is not recoverable.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