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11</w:t>
      </w:r>
    </w:p>
    <w:p>
      <w:pPr>
        <w:pStyle w:val="Subtitle"/>
      </w:pPr>
      <w:r>
        <w:t>COMPLAINT AT TABERAH • CRAVING AT KIBROTH-HATTAAVAH • THE MANNA DESPISED • MOSES OVERWHELMED • SEVENTY ELDERS • “IS YAHWEH’S HAND WAXED SHORT?” • ELDAD AND MEDAD • QUAILS AND JUDGMENT</w:t>
      </w:r>
    </w:p>
    <w:p>
      <w:pPr/>
      <w:r>
        <w:rPr>
          <w:i/>
        </w:rPr>
        <w:t>H. P. Mansfield Bible notes — checked and arranged in verse-by-verse Expositor style</w:t>
      </w:r>
    </w:p>
    <w:p>
      <w:pPr/>
      <w:r>
        <w:rPr>
          <w:i w:val="0"/>
        </w:rPr>
        <w:t>Source: HPB 03-Lev12-Num36.PDF, mainly pp. 53–55; cross-checked with Mansfield’s Numbers Expositor Chapter 11.</w:t>
      </w:r>
    </w:p>
    <w:p>
      <w:pPr>
        <w:pStyle w:val="Heading1"/>
      </w:pPr>
      <w:r>
        <w:t>CHAPTER OVERVIEW</w:t>
      </w:r>
    </w:p>
    <w:p>
      <w:pPr/>
      <w:r>
        <w:rPr>
          <w:i w:val="0"/>
        </w:rPr>
        <w:t>The disciplined camp scarcely begins its journey before complaint spreads. Numbers 11 traces a movement from unspecified murmuring to craving, nostalgic distortion of Egypt, leadership exhaustion and finally judgment at “the graves of craving.”</w:t>
      </w:r>
    </w:p>
    <w:p>
      <w:pPr/>
      <w:r>
        <w:rPr>
          <w:i w:val="0"/>
        </w:rPr>
        <w:t>Alongside failure, Yahweh provides real help: seventy recognised elders receive Spirit empowerment to share Moses’ burden, and Moses refuses jealous control when Eldad and Medad also prophesy.</w:t>
      </w:r>
    </w:p>
    <w:p>
      <w:pPr>
        <w:pStyle w:val="Heading1"/>
      </w:pPr>
      <w:r>
        <w:t>TABERAH — NUMBERS 11:1–3</w:t>
      </w:r>
    </w:p>
    <w:p>
      <w:pPr>
        <w:pStyle w:val="Heading2"/>
      </w:pPr>
      <w:r>
        <w:t>Numbers 11:1 — complaint whose content is not stated</w:t>
      </w:r>
    </w:p>
    <w:p>
      <w:pPr/>
      <w:r>
        <w:rPr>
          <w:i w:val="0"/>
        </w:rPr>
        <w:t>The opening Hebrew is difficult, describing the people as complaining/being as complainers, evil in Yahweh’s ears. The exact grievance is not recorded.</w:t>
      </w:r>
    </w:p>
    <w:p>
      <w:pPr/>
      <w:r>
        <w:rPr>
          <w:i w:val="0"/>
        </w:rPr>
        <w:t>Fire from Yahweh burns in the edge/extremity of the camp. Mansfield’s claim that possessions specifically were destroyed is not stated by the verse.</w:t>
      </w:r>
    </w:p>
    <w:p>
      <w:pPr>
        <w:pStyle w:val="Heading2"/>
      </w:pPr>
      <w:r>
        <w:t>Numbers 11:2–3 — Moses intercedes; Taberah named</w:t>
      </w:r>
    </w:p>
    <w:p>
      <w:pPr/>
      <w:r>
        <w:rPr>
          <w:i w:val="0"/>
        </w:rPr>
        <w:t>The people cry to Moses, he prays, and the fire subsides. The place is named Taberah, “burning,” because Yahweh’s fire burned among them.</w:t>
      </w:r>
    </w:p>
    <w:p>
      <w:pPr>
        <w:pStyle w:val="Heading1"/>
      </w:pPr>
      <w:r>
        <w:t>CRAVING AND THE MANNA — NUMBERS 11:4–9</w:t>
      </w:r>
    </w:p>
    <w:p>
      <w:pPr>
        <w:pStyle w:val="Heading2"/>
      </w:pPr>
      <w:r>
        <w:t>Numbers 11:4 — ha’asafsuf, the rabble, craves</w:t>
      </w:r>
    </w:p>
    <w:p>
      <w:pPr/>
      <w:r>
        <w:rPr>
          <w:i w:val="0"/>
        </w:rPr>
        <w:t>The rare word ha’asafsuf is usually rendered rabble/mixed crowd. It is not the same Hebrew expression as the ‘erev rav, “mixed multitude,” of Exodus 12:38.</w:t>
      </w:r>
    </w:p>
    <w:p>
      <w:pPr/>
      <w:r>
        <w:rPr>
          <w:i w:val="0"/>
        </w:rPr>
        <w:t>It may well include non-Israelites, but Numbers 11 does not explicitly identify the group’s ethnicity. Mansfield’s confident equation with the Exodus mixed multitude should therefore be qualified.</w:t>
      </w:r>
    </w:p>
    <w:p>
      <w:pPr>
        <w:pStyle w:val="Heading2"/>
      </w:pPr>
      <w:r>
        <w:t>Numbers 11:4–6 — remembered food, forgotten bondage</w:t>
      </w:r>
    </w:p>
    <w:p>
      <w:pPr/>
      <w:r>
        <w:rPr>
          <w:i w:val="0"/>
        </w:rPr>
        <w:t>The rabble “lusted a lust,” and Israel joins in weeping for flesh. Fish, cucumbers, melons, leeks, onions and garlic are remembered while the manna is dismissed as monotonous.</w:t>
      </w:r>
    </w:p>
    <w:p>
      <w:pPr/>
      <w:r>
        <w:rPr>
          <w:i w:val="0"/>
        </w:rPr>
        <w:t>The food itself was not inherently sinful. First Corinthians 10:6 identifies the issue as craving evil things: desire had become rejection of Yahweh’s present provision.</w:t>
      </w:r>
    </w:p>
    <w:p>
      <w:pPr>
        <w:pStyle w:val="Heading2"/>
      </w:pPr>
      <w:r>
        <w:t>Numbers 11:7–9 — manna described</w:t>
      </w:r>
    </w:p>
    <w:p>
      <w:pPr/>
      <w:r>
        <w:rPr>
          <w:i w:val="0"/>
        </w:rPr>
        <w:t>Manna is likened to coriander seed and bdellium in appearance. The people gather, grind or pound it, cook it and make cakes.</w:t>
      </w:r>
    </w:p>
    <w:p>
      <w:pPr/>
      <w:r>
        <w:rPr>
          <w:i w:val="0"/>
        </w:rPr>
        <w:t>KJV “taste of fresh oil” translates a difficult phrase, leshad hashshamen. Renderings vary—rich oil, cream, oil-cake and similar senses have been proposed. Mansfield’s precise “oil of vigour” etymology should not be treated as certain.</w:t>
      </w:r>
    </w:p>
    <w:p>
      <w:pPr>
        <w:pStyle w:val="Heading1"/>
      </w:pPr>
      <w:r>
        <w:t>MOSES OVERWHELMED — NUMBERS 11:10–15</w:t>
      </w:r>
    </w:p>
    <w:p>
      <w:pPr>
        <w:pStyle w:val="Heading2"/>
      </w:pPr>
      <w:r>
        <w:t>Numbers 11:10 — family-by-family weeping</w:t>
      </w:r>
    </w:p>
    <w:p>
      <w:pPr/>
      <w:r>
        <w:rPr>
          <w:i w:val="0"/>
        </w:rPr>
        <w:t>Moses hears the people weeping by families at the entrances of their tents. The text does not say the demonstration was centrally planned by an agitator; Mansfield’s “prearranged protest” is speculation.</w:t>
      </w:r>
    </w:p>
    <w:p>
      <w:pPr>
        <w:pStyle w:val="Heading2"/>
      </w:pPr>
      <w:r>
        <w:t>Numbers 11:11–15 — leadership exhaustion</w:t>
      </w:r>
    </w:p>
    <w:p>
      <w:pPr/>
      <w:r>
        <w:rPr>
          <w:i w:val="0"/>
        </w:rPr>
        <w:t>Moses asks why the burden of the people has been laid upon him and uses nursing-parent imagery for a task he feels unable to carry alone. He finally asks for death rather than continued misery.</w:t>
      </w:r>
    </w:p>
    <w:p>
      <w:pPr/>
      <w:r>
        <w:rPr>
          <w:i w:val="0"/>
        </w:rPr>
        <w:t>The passage records severe discouragement in a faithful servant; it is not presented as an ideal response. Yahweh answers by sharing the administrative burden rather than condemning Moses.</w:t>
      </w:r>
    </w:p>
    <w:p>
      <w:pPr>
        <w:pStyle w:val="Heading1"/>
      </w:pPr>
      <w:r>
        <w:t>THE SEVENTY ELDERS — NUMBERS 11:16–17</w:t>
      </w:r>
    </w:p>
    <w:p>
      <w:pPr>
        <w:pStyle w:val="Heading2"/>
      </w:pPr>
      <w:r>
        <w:t>Numbers 11:16 — recognised elders and officers</w:t>
      </w:r>
    </w:p>
    <w:p>
      <w:pPr/>
      <w:r>
        <w:rPr>
          <w:i w:val="0"/>
        </w:rPr>
        <w:t>Moses is told to gather seventy men whom he knows to be elders and officers of Israel. Exodus 18 records appointment of multiple judges but does not state that exactly seventy were selected there.</w:t>
      </w:r>
    </w:p>
    <w:p>
      <w:pPr/>
      <w:r>
        <w:rPr>
          <w:i w:val="0"/>
        </w:rPr>
        <w:t>Therefore the seventy may overlap with previous leadership but should not simply be identified as the same already-numbered group.</w:t>
      </w:r>
    </w:p>
    <w:p>
      <w:pPr>
        <w:pStyle w:val="Heading2"/>
      </w:pPr>
      <w:r>
        <w:t>Numbers 11:17 — one Spirit endowment shared</w:t>
      </w:r>
    </w:p>
    <w:p>
      <w:pPr/>
      <w:r>
        <w:rPr>
          <w:i w:val="0"/>
        </w:rPr>
        <w:t>Yahweh says He will take of the Spirit that is upon Moses and put it upon the elders so they may bear the people’s burden with him.</w:t>
      </w:r>
    </w:p>
    <w:p>
      <w:pPr/>
      <w:r>
        <w:rPr>
          <w:i w:val="0"/>
        </w:rPr>
        <w:t>The language need not imply Moses loses a measurable portion of Spirit; the result is extension of Divine empowerment to others.</w:t>
      </w:r>
    </w:p>
    <w:p>
      <w:pPr>
        <w:pStyle w:val="Heading1"/>
      </w:pPr>
      <w:r>
        <w:t>FLESH PROMISED IN JUDGMENT — NUMBERS 11:18–23</w:t>
      </w:r>
    </w:p>
    <w:p>
      <w:pPr>
        <w:pStyle w:val="Heading2"/>
      </w:pPr>
      <w:r>
        <w:t>Numbers 11:18–20 — desire granted until it becomes loathsome</w:t>
      </w:r>
    </w:p>
    <w:p>
      <w:pPr/>
      <w:r>
        <w:rPr>
          <w:i w:val="0"/>
        </w:rPr>
        <w:t>Israel must sanctify itself and will receive flesh not for a day or two but until it comes out at the nostrils and becomes loathsome. What they insist upon against Yahweh’s provision becomes judgment.</w:t>
      </w:r>
    </w:p>
    <w:p>
      <w:pPr/>
      <w:r>
        <w:rPr>
          <w:i w:val="0"/>
        </w:rPr>
        <w:t>The real offence is stated: they have rejected/despised Yahweh who is among them and have questioned the Exodus itself.</w:t>
      </w:r>
    </w:p>
    <w:p>
      <w:pPr>
        <w:pStyle w:val="Heading2"/>
      </w:pPr>
      <w:r>
        <w:t>Numbers 11:21–23 — “Is Yahweh’s hand shortened?”</w:t>
      </w:r>
    </w:p>
    <w:p>
      <w:pPr/>
      <w:r>
        <w:rPr>
          <w:i w:val="0"/>
        </w:rPr>
        <w:t>Moses points to six hundred thousand footmen and questions how such flesh can be supplied. Yahweh replies, “Is Yahweh’s hand waxed short?”</w:t>
      </w:r>
    </w:p>
    <w:p>
      <w:pPr/>
      <w:r>
        <w:rPr>
          <w:i w:val="0"/>
        </w:rPr>
        <w:t>The issue is not arithmetic but whether Divine power is limited by wilderness resources.</w:t>
      </w:r>
    </w:p>
    <w:p>
      <w:pPr>
        <w:pStyle w:val="Heading1"/>
      </w:pPr>
      <w:r>
        <w:t>ELDAD AND MEDAD — NUMBERS 11:24–30</w:t>
      </w:r>
    </w:p>
    <w:p>
      <w:pPr>
        <w:pStyle w:val="Heading2"/>
      </w:pPr>
      <w:r>
        <w:t>Numbers 11:24–25 — Spirit and prophecy</w:t>
      </w:r>
    </w:p>
    <w:p>
      <w:pPr/>
      <w:r>
        <w:rPr>
          <w:i w:val="0"/>
        </w:rPr>
        <w:t>The seventy are gathered and the Spirit rests upon them. The final Hebrew clause is ambiguous: KJV “and did not cease” can also be understood “but did not continue/do so again.” Modern translations divide over whether the prophesying was continuous or a one-time confirming sign.</w:t>
      </w:r>
    </w:p>
    <w:p>
      <w:pPr/>
      <w:r>
        <w:rPr>
          <w:i w:val="0"/>
        </w:rPr>
        <w:t>The secure point is that prophecy publicly authenticates their Spirit-given appointment.</w:t>
      </w:r>
    </w:p>
    <w:p>
      <w:pPr>
        <w:pStyle w:val="Heading2"/>
      </w:pPr>
      <w:r>
        <w:t>Numbers 11:26–29 — Moses refuses jealous control</w:t>
      </w:r>
    </w:p>
    <w:p>
      <w:pPr/>
      <w:r>
        <w:rPr>
          <w:i w:val="0"/>
        </w:rPr>
        <w:t>Eldad and Medad remain in the camp yet also receive the Spirit and prophesy. Joshua asks Moses to forbid them.</w:t>
      </w:r>
    </w:p>
    <w:p>
      <w:pPr/>
      <w:r>
        <w:rPr>
          <w:i w:val="0"/>
        </w:rPr>
        <w:t>Moses answers, “Enviest thou for my sake?” and wishes all Yahweh’s people were prophets. His concern is Yahweh’s work, not monopoly of personal status.</w:t>
      </w:r>
    </w:p>
    <w:p>
      <w:pPr>
        <w:pStyle w:val="Heading2"/>
      </w:pPr>
      <w:r>
        <w:t>Numbers 11:30 — return to camp</w:t>
      </w:r>
    </w:p>
    <w:p>
      <w:pPr/>
      <w:r>
        <w:rPr>
          <w:i w:val="0"/>
        </w:rPr>
        <w:t>Moses and the elders return to the camp after the public confirmation.</w:t>
      </w:r>
    </w:p>
    <w:p>
      <w:pPr>
        <w:pStyle w:val="Heading1"/>
      </w:pPr>
      <w:r>
        <w:t>QUAILS AND KIBROTH-HATTAAVAH — NUMBERS 11:31–35</w:t>
      </w:r>
    </w:p>
    <w:p>
      <w:pPr>
        <w:pStyle w:val="Heading2"/>
      </w:pPr>
      <w:r>
        <w:t>Numbers 11:31–32 — quail spread around the camp</w:t>
      </w:r>
    </w:p>
    <w:p>
      <w:pPr/>
      <w:r>
        <w:rPr>
          <w:i w:val="0"/>
        </w:rPr>
        <w:t>A ruach, wind, from Yahweh brings quail from the sea and spreads them around the camp over a huge area. The phrase “about two cubits upon the face of the earth” may describe birds flying/hovering roughly two cubits above ground or a depth of accumulation; the exact picture is debated.</w:t>
      </w:r>
    </w:p>
    <w:p>
      <w:pPr/>
      <w:r>
        <w:rPr>
          <w:i w:val="0"/>
        </w:rPr>
        <w:t>Each gatherer takes at least ten homers, a very large quantity, and the people spread the quail around the camp.</w:t>
      </w:r>
    </w:p>
    <w:p>
      <w:pPr>
        <w:pStyle w:val="Heading2"/>
      </w:pPr>
      <w:r>
        <w:t>Numbers 11:33–35 — plague and “graves of craving”</w:t>
      </w:r>
    </w:p>
    <w:p>
      <w:pPr/>
      <w:r>
        <w:rPr>
          <w:i w:val="0"/>
        </w:rPr>
        <w:t>While the flesh is still between their teeth, before it is consumed, Yahweh strikes the people with a severe plague.</w:t>
      </w:r>
    </w:p>
    <w:p>
      <w:pPr/>
      <w:r>
        <w:rPr>
          <w:i w:val="0"/>
        </w:rPr>
        <w:t>The place is named Kibroth-hattaavah, “graves of craving/lust,” because those who craved were buried there. The camp then moves to Hazeroth.</w:t>
      </w:r>
    </w:p>
    <w:p>
      <w:pPr>
        <w:pStyle w:val="Heading1"/>
      </w:pPr>
      <w:r>
        <w:t>PRINCIPAL THEMES</w:t>
      </w:r>
    </w:p>
    <w:p>
      <w:pPr>
        <w:ind w:left="259" w:hanging="202"/>
      </w:pPr>
      <w:r>
        <w:rPr>
          <w:b/>
        </w:rPr>
        <w:t xml:space="preserve">• </w:t>
      </w:r>
      <w:r>
        <w:t>The first Taberah complaint is real but its exact content is not stated.</w:t>
      </w:r>
    </w:p>
    <w:p>
      <w:pPr>
        <w:ind w:left="259" w:hanging="202"/>
      </w:pPr>
      <w:r>
        <w:rPr>
          <w:b/>
        </w:rPr>
        <w:t xml:space="preserve">• </w:t>
      </w:r>
      <w:r>
        <w:t>Ha’asafsuf in Numbers 11 is not the same Hebrew term as Exodus 12:38’s “mixed multitude.”</w:t>
      </w:r>
    </w:p>
    <w:p>
      <w:pPr>
        <w:ind w:left="259" w:hanging="202"/>
      </w:pPr>
      <w:r>
        <w:rPr>
          <w:b/>
        </w:rPr>
        <w:t xml:space="preserve">• </w:t>
      </w:r>
      <w:r>
        <w:t>Ordinary food becomes spiritually destructive when craving rejects Yahweh’s provision.</w:t>
      </w:r>
    </w:p>
    <w:p>
      <w:pPr>
        <w:ind w:left="259" w:hanging="202"/>
      </w:pPr>
      <w:r>
        <w:rPr>
          <w:b/>
        </w:rPr>
        <w:t xml:space="preserve">• </w:t>
      </w:r>
      <w:r>
        <w:t>The phrase describing manna’s taste is lexically difficult and should not be forced into one etymology.</w:t>
      </w:r>
    </w:p>
    <w:p>
      <w:pPr>
        <w:ind w:left="259" w:hanging="202"/>
      </w:pPr>
      <w:r>
        <w:rPr>
          <w:b/>
        </w:rPr>
        <w:t xml:space="preserve">• </w:t>
      </w:r>
      <w:r>
        <w:t>The tent-door weeping is not shown to be a centrally organised protest.</w:t>
      </w:r>
    </w:p>
    <w:p>
      <w:pPr>
        <w:ind w:left="259" w:hanging="202"/>
      </w:pPr>
      <w:r>
        <w:rPr>
          <w:b/>
        </w:rPr>
        <w:t xml:space="preserve">• </w:t>
      </w:r>
      <w:r>
        <w:t>Exodus 18 does not say its judges numbered seventy; continuity with Numbers 11 is possible, not proved.</w:t>
      </w:r>
    </w:p>
    <w:p>
      <w:pPr>
        <w:ind w:left="259" w:hanging="202"/>
      </w:pPr>
      <w:r>
        <w:rPr>
          <w:b/>
        </w:rPr>
        <w:t xml:space="preserve">• </w:t>
      </w:r>
      <w:r>
        <w:t>The Spirit is extended to seventy elders without requiring diminution of Moses.</w:t>
      </w:r>
    </w:p>
    <w:p>
      <w:pPr>
        <w:ind w:left="259" w:hanging="202"/>
      </w:pPr>
      <w:r>
        <w:rPr>
          <w:b/>
        </w:rPr>
        <w:t xml:space="preserve">• </w:t>
      </w:r>
      <w:r>
        <w:t>The KJV “did not cease” in verse 25 has a real translation ambiguity.</w:t>
      </w:r>
    </w:p>
    <w:p>
      <w:pPr>
        <w:ind w:left="259" w:hanging="202"/>
      </w:pPr>
      <w:r>
        <w:rPr>
          <w:b/>
        </w:rPr>
        <w:t xml:space="preserve">• </w:t>
      </w:r>
      <w:r>
        <w:t>The quail “two cubits” phrase is debated between low flight/hovering and depth/spread.</w:t>
      </w:r>
    </w:p>
    <w:p>
      <w:pPr>
        <w:ind w:left="259" w:hanging="202"/>
      </w:pPr>
      <w:r>
        <w:rPr>
          <w:b/>
        </w:rPr>
        <w:t xml:space="preserve">• </w:t>
      </w:r>
      <w:r>
        <w:t>Kibroth-hattaavah means graves of craving/lust.</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11:1</w:t>
            </w:r>
          </w:p>
        </w:tc>
        <w:tc>
          <w:tcPr>
            <w:tcW w:type="dxa" w:w="3561"/>
            <w:vAlign w:val="top"/>
          </w:tcPr>
          <w:p>
            <w:pPr>
              <w:spacing w:after="0"/>
            </w:pPr>
            <w:r>
              <w:rPr>
                <w:rFonts w:ascii="Times New Roman" w:hAnsi="Times New Roman"/>
                <w:sz w:val="14"/>
              </w:rPr>
              <w:t>complaining text difficult</w:t>
            </w:r>
          </w:p>
        </w:tc>
        <w:tc>
          <w:tcPr>
            <w:tcW w:type="dxa" w:w="3561"/>
            <w:vAlign w:val="top"/>
          </w:tcPr>
          <w:p>
            <w:pPr>
              <w:spacing w:after="0"/>
            </w:pPr>
            <w:r>
              <w:rPr>
                <w:rFonts w:ascii="Times New Roman" w:hAnsi="Times New Roman"/>
                <w:sz w:val="14"/>
              </w:rPr>
              <w:t>Exact grievance unstated; fire reaches camp extremity.</w:t>
            </w:r>
          </w:p>
        </w:tc>
      </w:tr>
      <w:tr>
        <w:tc>
          <w:tcPr>
            <w:tcW w:type="dxa" w:w="3561"/>
            <w:vAlign w:val="top"/>
          </w:tcPr>
          <w:p>
            <w:pPr>
              <w:spacing w:after="0"/>
            </w:pPr>
            <w:r>
              <w:rPr>
                <w:rFonts w:ascii="Times New Roman" w:hAnsi="Times New Roman"/>
                <w:sz w:val="14"/>
              </w:rPr>
              <w:t>Num. 11:3</w:t>
            </w:r>
          </w:p>
        </w:tc>
        <w:tc>
          <w:tcPr>
            <w:tcW w:type="dxa" w:w="3561"/>
            <w:vAlign w:val="top"/>
          </w:tcPr>
          <w:p>
            <w:pPr>
              <w:spacing w:after="0"/>
            </w:pPr>
            <w:r>
              <w:rPr>
                <w:rFonts w:ascii="Times New Roman" w:hAnsi="Times New Roman"/>
                <w:sz w:val="14"/>
              </w:rPr>
              <w:t>Taberah</w:t>
            </w:r>
          </w:p>
        </w:tc>
        <w:tc>
          <w:tcPr>
            <w:tcW w:type="dxa" w:w="3561"/>
            <w:vAlign w:val="top"/>
          </w:tcPr>
          <w:p>
            <w:pPr>
              <w:spacing w:after="0"/>
            </w:pPr>
            <w:r>
              <w:rPr>
                <w:rFonts w:ascii="Times New Roman" w:hAnsi="Times New Roman"/>
                <w:sz w:val="14"/>
              </w:rPr>
              <w:t>Burning.</w:t>
            </w:r>
          </w:p>
        </w:tc>
      </w:tr>
      <w:tr>
        <w:tc>
          <w:tcPr>
            <w:tcW w:type="dxa" w:w="3561"/>
            <w:vAlign w:val="top"/>
          </w:tcPr>
          <w:p>
            <w:pPr>
              <w:spacing w:after="0"/>
            </w:pPr>
            <w:r>
              <w:rPr>
                <w:rFonts w:ascii="Times New Roman" w:hAnsi="Times New Roman"/>
                <w:sz w:val="14"/>
              </w:rPr>
              <w:t>Num. 11:4</w:t>
            </w:r>
          </w:p>
        </w:tc>
        <w:tc>
          <w:tcPr>
            <w:tcW w:type="dxa" w:w="3561"/>
            <w:vAlign w:val="top"/>
          </w:tcPr>
          <w:p>
            <w:pPr>
              <w:spacing w:after="0"/>
            </w:pPr>
            <w:r>
              <w:rPr>
                <w:rFonts w:ascii="Times New Roman" w:hAnsi="Times New Roman"/>
                <w:sz w:val="14"/>
              </w:rPr>
              <w:t>ha’asafsuf</w:t>
            </w:r>
          </w:p>
        </w:tc>
        <w:tc>
          <w:tcPr>
            <w:tcW w:type="dxa" w:w="3561"/>
            <w:vAlign w:val="top"/>
          </w:tcPr>
          <w:p>
            <w:pPr>
              <w:spacing w:after="0"/>
            </w:pPr>
            <w:r>
              <w:rPr>
                <w:rFonts w:ascii="Times New Roman" w:hAnsi="Times New Roman"/>
                <w:sz w:val="14"/>
              </w:rPr>
              <w:t>Rabble/mixed crowd; different Hebrew from Ex. 12:38 ‘erev rav.</w:t>
            </w:r>
          </w:p>
        </w:tc>
      </w:tr>
      <w:tr>
        <w:tc>
          <w:tcPr>
            <w:tcW w:type="dxa" w:w="3561"/>
            <w:vAlign w:val="top"/>
          </w:tcPr>
          <w:p>
            <w:pPr>
              <w:spacing w:after="0"/>
            </w:pPr>
            <w:r>
              <w:rPr>
                <w:rFonts w:ascii="Times New Roman" w:hAnsi="Times New Roman"/>
                <w:sz w:val="14"/>
              </w:rPr>
              <w:t>1 Cor. 10:6</w:t>
            </w:r>
          </w:p>
        </w:tc>
        <w:tc>
          <w:tcPr>
            <w:tcW w:type="dxa" w:w="3561"/>
            <w:vAlign w:val="top"/>
          </w:tcPr>
          <w:p>
            <w:pPr>
              <w:spacing w:after="0"/>
            </w:pPr>
            <w:r>
              <w:rPr>
                <w:rFonts w:ascii="Times New Roman" w:hAnsi="Times New Roman"/>
                <w:sz w:val="14"/>
              </w:rPr>
              <w:t>craving evil things</w:t>
            </w:r>
          </w:p>
        </w:tc>
        <w:tc>
          <w:tcPr>
            <w:tcW w:type="dxa" w:w="3561"/>
            <w:vAlign w:val="top"/>
          </w:tcPr>
          <w:p>
            <w:pPr>
              <w:spacing w:after="0"/>
            </w:pPr>
            <w:r>
              <w:rPr>
                <w:rFonts w:ascii="Times New Roman" w:hAnsi="Times New Roman"/>
                <w:sz w:val="14"/>
              </w:rPr>
              <w:t>Inspired interpretation of the wilderness desire.</w:t>
            </w:r>
          </w:p>
        </w:tc>
      </w:tr>
      <w:tr>
        <w:tc>
          <w:tcPr>
            <w:tcW w:type="dxa" w:w="3561"/>
            <w:vAlign w:val="top"/>
          </w:tcPr>
          <w:p>
            <w:pPr>
              <w:spacing w:after="0"/>
            </w:pPr>
            <w:r>
              <w:rPr>
                <w:rFonts w:ascii="Times New Roman" w:hAnsi="Times New Roman"/>
                <w:sz w:val="14"/>
              </w:rPr>
              <w:t>Num. 11:8</w:t>
            </w:r>
          </w:p>
        </w:tc>
        <w:tc>
          <w:tcPr>
            <w:tcW w:type="dxa" w:w="3561"/>
            <w:vAlign w:val="top"/>
          </w:tcPr>
          <w:p>
            <w:pPr>
              <w:spacing w:after="0"/>
            </w:pPr>
            <w:r>
              <w:rPr>
                <w:rFonts w:ascii="Times New Roman" w:hAnsi="Times New Roman"/>
                <w:sz w:val="14"/>
              </w:rPr>
              <w:t>leshad hashshamen</w:t>
            </w:r>
          </w:p>
        </w:tc>
        <w:tc>
          <w:tcPr>
            <w:tcW w:type="dxa" w:w="3561"/>
            <w:vAlign w:val="top"/>
          </w:tcPr>
          <w:p>
            <w:pPr>
              <w:spacing w:after="0"/>
            </w:pPr>
            <w:r>
              <w:rPr>
                <w:rFonts w:ascii="Times New Roman" w:hAnsi="Times New Roman"/>
                <w:sz w:val="14"/>
              </w:rPr>
              <w:t>Difficult taste phrase; several renderings possible.</w:t>
            </w:r>
          </w:p>
        </w:tc>
      </w:tr>
      <w:tr>
        <w:tc>
          <w:tcPr>
            <w:tcW w:type="dxa" w:w="3561"/>
            <w:vAlign w:val="top"/>
          </w:tcPr>
          <w:p>
            <w:pPr>
              <w:spacing w:after="0"/>
            </w:pPr>
            <w:r>
              <w:rPr>
                <w:rFonts w:ascii="Times New Roman" w:hAnsi="Times New Roman"/>
                <w:sz w:val="14"/>
              </w:rPr>
              <w:t>Num. 11:10</w:t>
            </w:r>
          </w:p>
        </w:tc>
        <w:tc>
          <w:tcPr>
            <w:tcW w:type="dxa" w:w="3561"/>
            <w:vAlign w:val="top"/>
          </w:tcPr>
          <w:p>
            <w:pPr>
              <w:spacing w:after="0"/>
            </w:pPr>
            <w:r>
              <w:rPr>
                <w:rFonts w:ascii="Times New Roman" w:hAnsi="Times New Roman"/>
                <w:sz w:val="14"/>
              </w:rPr>
              <w:t>tent-door weeping</w:t>
            </w:r>
          </w:p>
        </w:tc>
        <w:tc>
          <w:tcPr>
            <w:tcW w:type="dxa" w:w="3561"/>
            <w:vAlign w:val="top"/>
          </w:tcPr>
          <w:p>
            <w:pPr>
              <w:spacing w:after="0"/>
            </w:pPr>
            <w:r>
              <w:rPr>
                <w:rFonts w:ascii="Times New Roman" w:hAnsi="Times New Roman"/>
                <w:sz w:val="14"/>
              </w:rPr>
              <w:t>No textual evidence of prearranged agitation.</w:t>
            </w:r>
          </w:p>
        </w:tc>
      </w:tr>
      <w:tr>
        <w:tc>
          <w:tcPr>
            <w:tcW w:type="dxa" w:w="3561"/>
            <w:vAlign w:val="top"/>
          </w:tcPr>
          <w:p>
            <w:pPr>
              <w:spacing w:after="0"/>
            </w:pPr>
            <w:r>
              <w:rPr>
                <w:rFonts w:ascii="Times New Roman" w:hAnsi="Times New Roman"/>
                <w:sz w:val="14"/>
              </w:rPr>
              <w:t>Num. 11:11–15</w:t>
            </w:r>
          </w:p>
        </w:tc>
        <w:tc>
          <w:tcPr>
            <w:tcW w:type="dxa" w:w="3561"/>
            <w:vAlign w:val="top"/>
          </w:tcPr>
          <w:p>
            <w:pPr>
              <w:spacing w:after="0"/>
            </w:pPr>
            <w:r>
              <w:rPr>
                <w:rFonts w:ascii="Times New Roman" w:hAnsi="Times New Roman"/>
                <w:sz w:val="14"/>
              </w:rPr>
              <w:t>Moses overwhelmed</w:t>
            </w:r>
          </w:p>
        </w:tc>
        <w:tc>
          <w:tcPr>
            <w:tcW w:type="dxa" w:w="3561"/>
            <w:vAlign w:val="top"/>
          </w:tcPr>
          <w:p>
            <w:pPr>
              <w:spacing w:after="0"/>
            </w:pPr>
            <w:r>
              <w:rPr>
                <w:rFonts w:ascii="Times New Roman" w:hAnsi="Times New Roman"/>
                <w:sz w:val="14"/>
              </w:rPr>
              <w:t>Severe discouragement; Yahweh provides help.</w:t>
            </w:r>
          </w:p>
        </w:tc>
      </w:tr>
      <w:tr>
        <w:tc>
          <w:tcPr>
            <w:tcW w:type="dxa" w:w="3561"/>
            <w:vAlign w:val="top"/>
          </w:tcPr>
          <w:p>
            <w:pPr>
              <w:spacing w:after="0"/>
            </w:pPr>
            <w:r>
              <w:rPr>
                <w:rFonts w:ascii="Times New Roman" w:hAnsi="Times New Roman"/>
                <w:sz w:val="14"/>
              </w:rPr>
              <w:t>Num. 11:16</w:t>
            </w:r>
          </w:p>
        </w:tc>
        <w:tc>
          <w:tcPr>
            <w:tcW w:type="dxa" w:w="3561"/>
            <w:vAlign w:val="top"/>
          </w:tcPr>
          <w:p>
            <w:pPr>
              <w:spacing w:after="0"/>
            </w:pPr>
            <w:r>
              <w:rPr>
                <w:rFonts w:ascii="Times New Roman" w:hAnsi="Times New Roman"/>
                <w:sz w:val="14"/>
              </w:rPr>
              <w:t>70 elders/officers</w:t>
            </w:r>
          </w:p>
        </w:tc>
        <w:tc>
          <w:tcPr>
            <w:tcW w:type="dxa" w:w="3561"/>
            <w:vAlign w:val="top"/>
          </w:tcPr>
          <w:p>
            <w:pPr>
              <w:spacing w:after="0"/>
            </w:pPr>
            <w:r>
              <w:rPr>
                <w:rFonts w:ascii="Times New Roman" w:hAnsi="Times New Roman"/>
                <w:sz w:val="14"/>
              </w:rPr>
              <w:t>Ex. 18 does not specify seventy, so exact continuity unproved.</w:t>
            </w:r>
          </w:p>
        </w:tc>
      </w:tr>
      <w:tr>
        <w:tc>
          <w:tcPr>
            <w:tcW w:type="dxa" w:w="3561"/>
            <w:vAlign w:val="top"/>
          </w:tcPr>
          <w:p>
            <w:pPr>
              <w:spacing w:after="0"/>
            </w:pPr>
            <w:r>
              <w:rPr>
                <w:rFonts w:ascii="Times New Roman" w:hAnsi="Times New Roman"/>
                <w:sz w:val="14"/>
              </w:rPr>
              <w:t>Num. 11:17</w:t>
            </w:r>
          </w:p>
        </w:tc>
        <w:tc>
          <w:tcPr>
            <w:tcW w:type="dxa" w:w="3561"/>
            <w:vAlign w:val="top"/>
          </w:tcPr>
          <w:p>
            <w:pPr>
              <w:spacing w:after="0"/>
            </w:pPr>
            <w:r>
              <w:rPr>
                <w:rFonts w:ascii="Times New Roman" w:hAnsi="Times New Roman"/>
                <w:sz w:val="14"/>
              </w:rPr>
              <w:t>Spirit shared</w:t>
            </w:r>
          </w:p>
        </w:tc>
        <w:tc>
          <w:tcPr>
            <w:tcW w:type="dxa" w:w="3561"/>
            <w:vAlign w:val="top"/>
          </w:tcPr>
          <w:p>
            <w:pPr>
              <w:spacing w:after="0"/>
            </w:pPr>
            <w:r>
              <w:rPr>
                <w:rFonts w:ascii="Times New Roman" w:hAnsi="Times New Roman"/>
                <w:sz w:val="14"/>
              </w:rPr>
              <w:t>Extension of empowerment, not necessary subtraction from Moses.</w:t>
            </w:r>
          </w:p>
        </w:tc>
      </w:tr>
      <w:tr>
        <w:tc>
          <w:tcPr>
            <w:tcW w:type="dxa" w:w="3561"/>
            <w:vAlign w:val="top"/>
          </w:tcPr>
          <w:p>
            <w:pPr>
              <w:spacing w:after="0"/>
            </w:pPr>
            <w:r>
              <w:rPr>
                <w:rFonts w:ascii="Times New Roman" w:hAnsi="Times New Roman"/>
                <w:sz w:val="14"/>
              </w:rPr>
              <w:t>Num. 11:20</w:t>
            </w:r>
          </w:p>
        </w:tc>
        <w:tc>
          <w:tcPr>
            <w:tcW w:type="dxa" w:w="3561"/>
            <w:vAlign w:val="top"/>
          </w:tcPr>
          <w:p>
            <w:pPr>
              <w:spacing w:after="0"/>
            </w:pPr>
            <w:r>
              <w:rPr>
                <w:rFonts w:ascii="Times New Roman" w:hAnsi="Times New Roman"/>
                <w:sz w:val="14"/>
              </w:rPr>
              <w:t>rejected Yahweh</w:t>
            </w:r>
          </w:p>
        </w:tc>
        <w:tc>
          <w:tcPr>
            <w:tcW w:type="dxa" w:w="3561"/>
            <w:vAlign w:val="top"/>
          </w:tcPr>
          <w:p>
            <w:pPr>
              <w:spacing w:after="0"/>
            </w:pPr>
            <w:r>
              <w:rPr>
                <w:rFonts w:ascii="Times New Roman" w:hAnsi="Times New Roman"/>
                <w:sz w:val="14"/>
              </w:rPr>
              <w:t>Text gives theological reason for craving judgment.</w:t>
            </w:r>
          </w:p>
        </w:tc>
      </w:tr>
      <w:tr>
        <w:tc>
          <w:tcPr>
            <w:tcW w:type="dxa" w:w="3561"/>
            <w:vAlign w:val="top"/>
          </w:tcPr>
          <w:p>
            <w:pPr>
              <w:spacing w:after="0"/>
            </w:pPr>
            <w:r>
              <w:rPr>
                <w:rFonts w:ascii="Times New Roman" w:hAnsi="Times New Roman"/>
                <w:sz w:val="14"/>
              </w:rPr>
              <w:t>Num. 11:23</w:t>
            </w:r>
          </w:p>
        </w:tc>
        <w:tc>
          <w:tcPr>
            <w:tcW w:type="dxa" w:w="3561"/>
            <w:vAlign w:val="top"/>
          </w:tcPr>
          <w:p>
            <w:pPr>
              <w:spacing w:after="0"/>
            </w:pPr>
            <w:r>
              <w:rPr>
                <w:rFonts w:ascii="Times New Roman" w:hAnsi="Times New Roman"/>
                <w:sz w:val="14"/>
              </w:rPr>
              <w:t>Yahweh’s hand shortened?</w:t>
            </w:r>
          </w:p>
        </w:tc>
        <w:tc>
          <w:tcPr>
            <w:tcW w:type="dxa" w:w="3561"/>
            <w:vAlign w:val="top"/>
          </w:tcPr>
          <w:p>
            <w:pPr>
              <w:spacing w:after="0"/>
            </w:pPr>
            <w:r>
              <w:rPr>
                <w:rFonts w:ascii="Times New Roman" w:hAnsi="Times New Roman"/>
                <w:sz w:val="14"/>
              </w:rPr>
              <w:t>Divine power question.</w:t>
            </w:r>
          </w:p>
        </w:tc>
      </w:tr>
      <w:tr>
        <w:tc>
          <w:tcPr>
            <w:tcW w:type="dxa" w:w="3561"/>
            <w:vAlign w:val="top"/>
          </w:tcPr>
          <w:p>
            <w:pPr>
              <w:spacing w:after="0"/>
            </w:pPr>
            <w:r>
              <w:rPr>
                <w:rFonts w:ascii="Times New Roman" w:hAnsi="Times New Roman"/>
                <w:sz w:val="14"/>
              </w:rPr>
              <w:t>Num. 11:25</w:t>
            </w:r>
          </w:p>
        </w:tc>
        <w:tc>
          <w:tcPr>
            <w:tcW w:type="dxa" w:w="3561"/>
            <w:vAlign w:val="top"/>
          </w:tcPr>
          <w:p>
            <w:pPr>
              <w:spacing w:after="0"/>
            </w:pPr>
            <w:r>
              <w:rPr>
                <w:rFonts w:ascii="Times New Roman" w:hAnsi="Times New Roman"/>
                <w:sz w:val="14"/>
              </w:rPr>
              <w:t>lo yasafu</w:t>
            </w:r>
          </w:p>
        </w:tc>
        <w:tc>
          <w:tcPr>
            <w:tcW w:type="dxa" w:w="3561"/>
            <w:vAlign w:val="top"/>
          </w:tcPr>
          <w:p>
            <w:pPr>
              <w:spacing w:after="0"/>
            </w:pPr>
            <w:r>
              <w:rPr>
                <w:rFonts w:ascii="Times New Roman" w:hAnsi="Times New Roman"/>
                <w:sz w:val="14"/>
              </w:rPr>
              <w:t>KJV “did not cease”; can mean did not continue/add again.</w:t>
            </w:r>
          </w:p>
        </w:tc>
      </w:tr>
      <w:tr>
        <w:tc>
          <w:tcPr>
            <w:tcW w:type="dxa" w:w="3561"/>
            <w:vAlign w:val="top"/>
          </w:tcPr>
          <w:p>
            <w:pPr>
              <w:spacing w:after="0"/>
            </w:pPr>
            <w:r>
              <w:rPr>
                <w:rFonts w:ascii="Times New Roman" w:hAnsi="Times New Roman"/>
                <w:sz w:val="14"/>
              </w:rPr>
              <w:t>Num. 11:26–29</w:t>
            </w:r>
          </w:p>
        </w:tc>
        <w:tc>
          <w:tcPr>
            <w:tcW w:type="dxa" w:w="3561"/>
            <w:vAlign w:val="top"/>
          </w:tcPr>
          <w:p>
            <w:pPr>
              <w:spacing w:after="0"/>
            </w:pPr>
            <w:r>
              <w:rPr>
                <w:rFonts w:ascii="Times New Roman" w:hAnsi="Times New Roman"/>
                <w:sz w:val="14"/>
              </w:rPr>
              <w:t>Eldad and Medad</w:t>
            </w:r>
          </w:p>
        </w:tc>
        <w:tc>
          <w:tcPr>
            <w:tcW w:type="dxa" w:w="3561"/>
            <w:vAlign w:val="top"/>
          </w:tcPr>
          <w:p>
            <w:pPr>
              <w:spacing w:after="0"/>
            </w:pPr>
            <w:r>
              <w:rPr>
                <w:rFonts w:ascii="Times New Roman" w:hAnsi="Times New Roman"/>
                <w:sz w:val="14"/>
              </w:rPr>
              <w:t>Moses refuses jealousy and wishes wider prophecy.</w:t>
            </w:r>
          </w:p>
        </w:tc>
      </w:tr>
      <w:tr>
        <w:tc>
          <w:tcPr>
            <w:tcW w:type="dxa" w:w="3561"/>
            <w:vAlign w:val="top"/>
          </w:tcPr>
          <w:p>
            <w:pPr>
              <w:spacing w:after="0"/>
            </w:pPr>
            <w:r>
              <w:rPr>
                <w:rFonts w:ascii="Times New Roman" w:hAnsi="Times New Roman"/>
                <w:sz w:val="14"/>
              </w:rPr>
              <w:t>Num. 11:31</w:t>
            </w:r>
          </w:p>
        </w:tc>
        <w:tc>
          <w:tcPr>
            <w:tcW w:type="dxa" w:w="3561"/>
            <w:vAlign w:val="top"/>
          </w:tcPr>
          <w:p>
            <w:pPr>
              <w:spacing w:after="0"/>
            </w:pPr>
            <w:r>
              <w:rPr>
                <w:rFonts w:ascii="Times New Roman" w:hAnsi="Times New Roman"/>
                <w:sz w:val="14"/>
              </w:rPr>
              <w:t>two cubits</w:t>
            </w:r>
          </w:p>
        </w:tc>
        <w:tc>
          <w:tcPr>
            <w:tcW w:type="dxa" w:w="3561"/>
            <w:vAlign w:val="top"/>
          </w:tcPr>
          <w:p>
            <w:pPr>
              <w:spacing w:after="0"/>
            </w:pPr>
            <w:r>
              <w:rPr>
                <w:rFonts w:ascii="Times New Roman" w:hAnsi="Times New Roman"/>
                <w:sz w:val="14"/>
              </w:rPr>
              <w:t>Low flight/hovering or accumulation depth debated.</w:t>
            </w:r>
          </w:p>
        </w:tc>
      </w:tr>
      <w:tr>
        <w:tc>
          <w:tcPr>
            <w:tcW w:type="dxa" w:w="3561"/>
            <w:vAlign w:val="top"/>
          </w:tcPr>
          <w:p>
            <w:pPr>
              <w:spacing w:after="0"/>
            </w:pPr>
            <w:r>
              <w:rPr>
                <w:rFonts w:ascii="Times New Roman" w:hAnsi="Times New Roman"/>
                <w:sz w:val="14"/>
              </w:rPr>
              <w:t>Num. 11:32</w:t>
            </w:r>
          </w:p>
        </w:tc>
        <w:tc>
          <w:tcPr>
            <w:tcW w:type="dxa" w:w="3561"/>
            <w:vAlign w:val="top"/>
          </w:tcPr>
          <w:p>
            <w:pPr>
              <w:spacing w:after="0"/>
            </w:pPr>
            <w:r>
              <w:rPr>
                <w:rFonts w:ascii="Times New Roman" w:hAnsi="Times New Roman"/>
                <w:sz w:val="14"/>
              </w:rPr>
              <w:t>ten homers minimum</w:t>
            </w:r>
          </w:p>
        </w:tc>
        <w:tc>
          <w:tcPr>
            <w:tcW w:type="dxa" w:w="3561"/>
            <w:vAlign w:val="top"/>
          </w:tcPr>
          <w:p>
            <w:pPr>
              <w:spacing w:after="0"/>
            </w:pPr>
            <w:r>
              <w:rPr>
                <w:rFonts w:ascii="Times New Roman" w:hAnsi="Times New Roman"/>
                <w:sz w:val="14"/>
              </w:rPr>
              <w:t>Very large quantity; exact modern conversion unnecessary.</w:t>
            </w:r>
          </w:p>
        </w:tc>
      </w:tr>
      <w:tr>
        <w:tc>
          <w:tcPr>
            <w:tcW w:type="dxa" w:w="3561"/>
            <w:vAlign w:val="top"/>
          </w:tcPr>
          <w:p>
            <w:pPr>
              <w:spacing w:after="0"/>
            </w:pPr>
            <w:r>
              <w:rPr>
                <w:rFonts w:ascii="Times New Roman" w:hAnsi="Times New Roman"/>
                <w:sz w:val="14"/>
              </w:rPr>
              <w:t>Num. 11:34</w:t>
            </w:r>
          </w:p>
        </w:tc>
        <w:tc>
          <w:tcPr>
            <w:tcW w:type="dxa" w:w="3561"/>
            <w:vAlign w:val="top"/>
          </w:tcPr>
          <w:p>
            <w:pPr>
              <w:spacing w:after="0"/>
            </w:pPr>
            <w:r>
              <w:rPr>
                <w:rFonts w:ascii="Times New Roman" w:hAnsi="Times New Roman"/>
                <w:sz w:val="14"/>
              </w:rPr>
              <w:t>Kibroth-hattaavah</w:t>
            </w:r>
          </w:p>
        </w:tc>
        <w:tc>
          <w:tcPr>
            <w:tcW w:type="dxa" w:w="3561"/>
            <w:vAlign w:val="top"/>
          </w:tcPr>
          <w:p>
            <w:pPr>
              <w:spacing w:after="0"/>
            </w:pPr>
            <w:r>
              <w:rPr>
                <w:rFonts w:ascii="Times New Roman" w:hAnsi="Times New Roman"/>
                <w:sz w:val="14"/>
              </w:rPr>
              <w:t>Graves of craving/lust.</w:t>
            </w:r>
          </w:p>
        </w:tc>
      </w:tr>
    </w:tbl>
    <w:p>
      <w:pPr>
        <w:pStyle w:val="Heading1"/>
      </w:pPr>
      <w:r>
        <w:t>RESIDUAL UNCERTAINTIES</w:t>
      </w:r>
    </w:p>
    <w:p>
      <w:pPr/>
      <w:r>
        <w:rPr>
          <w:i w:val="0"/>
        </w:rPr>
        <w:t>The ethnicity of the ha’asafsuf, the exact taste phrase for manna, the duration implied by lo yasafu in verse 25, and the physical picture of the quails “two cubits” above/on the ground remain uncertain. Mansfield’s numerological lists and claims of organised agitation are not treated as established facts.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