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NUMBERS 12</w:t>
      </w:r>
    </w:p>
    <w:p>
      <w:pPr>
        <w:pStyle w:val="Subtitle"/>
      </w:pPr>
      <w:r>
        <w:t>MIRIAM AND AARON CHALLENGE MOSES • THE CUSHITE WOMAN • MOSES VERY MEEK • DREAMS AND VISIONS VERSUS MOUTH TO MOUTH • “FAITHFUL IN ALL MY HOUSE” • MIRIAM’S TSARA‘AT • INTERCESSION • SEVEN DAYS OUTSIDE</w:t>
      </w:r>
    </w:p>
    <w:p>
      <w:pPr/>
      <w:r>
        <w:rPr>
          <w:i/>
        </w:rPr>
        <w:t>H. P. Mansfield Bible notes — checked and arranged in verse-by-verse Expositor style</w:t>
      </w:r>
    </w:p>
    <w:p>
      <w:pPr/>
      <w:r>
        <w:rPr>
          <w:i w:val="0"/>
        </w:rPr>
        <w:t>Source: HPB 03-Lev12-Num36.PDF, mainly p. 55; cross-checked with Mansfield’s Numbers Expositor Chapter 12.</w:t>
      </w:r>
    </w:p>
    <w:p>
      <w:pPr>
        <w:pStyle w:val="Heading1"/>
      </w:pPr>
      <w:r>
        <w:t>CHAPTER OVERVIEW</w:t>
      </w:r>
    </w:p>
    <w:p>
      <w:pPr/>
      <w:r>
        <w:rPr>
          <w:i w:val="0"/>
        </w:rPr>
        <w:t>Numbers 12 carries wilderness murmuring into the leadership itself. Miriam and Aaron speak against Moses over his Cushite wife, but their own words reveal the deeper challenge: has Yahweh spoken only through Moses?</w:t>
      </w:r>
    </w:p>
    <w:p>
      <w:pPr/>
      <w:r>
        <w:rPr>
          <w:i w:val="0"/>
        </w:rPr>
        <w:t>Yahweh answers by distinguishing Moses from ordinary prophets. Moses’ meek response is equally significant: he does not retaliate, and after Miriam is judged he immediately intercedes for her healing.</w:t>
      </w:r>
    </w:p>
    <w:p>
      <w:pPr>
        <w:pStyle w:val="Heading1"/>
      </w:pPr>
      <w:r>
        <w:t>THE CHALLENGE — NUMBERS 12:1–3</w:t>
      </w:r>
    </w:p>
    <w:p>
      <w:pPr>
        <w:pStyle w:val="Heading2"/>
      </w:pPr>
      <w:r>
        <w:t>Numbers 12:1 — the Cushite woman</w:t>
      </w:r>
    </w:p>
    <w:p>
      <w:pPr/>
      <w:r>
        <w:rPr>
          <w:i w:val="0"/>
        </w:rPr>
        <w:t>Miriam and Aaron speak against Moses because of the kushit, Cushite, woman he had married. KJV “Ethiopian” reflects the traditional rendering of Cushite.</w:t>
      </w:r>
    </w:p>
    <w:p>
      <w:pPr/>
      <w:r>
        <w:rPr>
          <w:i w:val="0"/>
        </w:rPr>
        <w:t>Whether this woman is Zipporah described from a broader regional perspective or a different wife is debated. The chapter does not identify her by name, so Mansfield-style certainty on that question should be avoided.</w:t>
      </w:r>
    </w:p>
    <w:p>
      <w:pPr>
        <w:pStyle w:val="Heading2"/>
      </w:pPr>
      <w:r>
        <w:t>Numbers 12:1–2 — Miriam appears to lead, but both challenge Moses</w:t>
      </w:r>
    </w:p>
    <w:p>
      <w:pPr/>
      <w:r>
        <w:rPr>
          <w:i w:val="0"/>
        </w:rPr>
        <w:t>Miriam is named first and the opening Hebrew verb is feminine singular, which may indicate that she initiated the complaint, though Aaron clearly participates.</w:t>
      </w:r>
    </w:p>
    <w:p>
      <w:pPr/>
      <w:r>
        <w:rPr>
          <w:i w:val="0"/>
        </w:rPr>
        <w:t>The deeper issue appears in their question: “Hath Yahweh indeed spoken only by Moses? hath he not spoken also by us?” Their challenge concerns Moses’ uniquely appointed authority, not merely his marriage.</w:t>
      </w:r>
    </w:p>
    <w:p>
      <w:pPr>
        <w:pStyle w:val="Heading2"/>
      </w:pPr>
      <w:r>
        <w:t>Numbers 12:3 — very ‘anav, meek/humble</w:t>
      </w:r>
    </w:p>
    <w:p>
      <w:pPr/>
      <w:r>
        <w:rPr>
          <w:i w:val="0"/>
        </w:rPr>
        <w:t>Moses is described as exceedingly ‘anav, meek/humble, more than all people on the face of the earth.</w:t>
      </w:r>
    </w:p>
    <w:p>
      <w:pPr/>
      <w:r>
        <w:rPr>
          <w:i w:val="0"/>
        </w:rPr>
        <w:t>Meekness is not weakness or inability to act. The narrative shows Moses leaving personal vindication to Yahweh rather than defending his status through retaliation.</w:t>
      </w:r>
    </w:p>
    <w:p>
      <w:pPr>
        <w:pStyle w:val="Heading1"/>
      </w:pPr>
      <w:r>
        <w:t>YAHWEH VINDICATES MOSES — NUMBERS 12:4–9</w:t>
      </w:r>
    </w:p>
    <w:p>
      <w:pPr>
        <w:pStyle w:val="Heading2"/>
      </w:pPr>
      <w:r>
        <w:t>Numbers 12:4–5 — sudden summons to the Tent</w:t>
      </w:r>
    </w:p>
    <w:p>
      <w:pPr/>
      <w:r>
        <w:rPr>
          <w:i w:val="0"/>
        </w:rPr>
        <w:t>Yahweh suddenly calls Moses, Aaron and Miriam to the Tent of Meeting. The cloud descends and Aaron and Miriam are called forward.</w:t>
      </w:r>
    </w:p>
    <w:p>
      <w:pPr>
        <w:pStyle w:val="Heading2"/>
      </w:pPr>
      <w:r>
        <w:t>Numbers 12:6 — ordinary prophetic revelation</w:t>
      </w:r>
    </w:p>
    <w:p>
      <w:pPr/>
      <w:r>
        <w:rPr>
          <w:i w:val="0"/>
        </w:rPr>
        <w:t>A prophet may receive Yahweh’s revelation in a mar’ah, vision/appearance, or a dream. Such mediated modes are contrasted with Moses’ exceptional access.</w:t>
      </w:r>
    </w:p>
    <w:p>
      <w:pPr>
        <w:pStyle w:val="Heading2"/>
      </w:pPr>
      <w:r>
        <w:t>Numbers 12:7 — “faithful in all mine house”</w:t>
      </w:r>
    </w:p>
    <w:p>
      <w:pPr/>
      <w:r>
        <w:rPr>
          <w:i w:val="0"/>
        </w:rPr>
        <w:t>Moses is Yahweh’s servant and is “faithful in all mine house.” Hebrews 3:5 quotes this description, then contrasts Moses the faithful servant with Christ the Son over God’s house.</w:t>
      </w:r>
    </w:p>
    <w:p>
      <w:pPr>
        <w:pStyle w:val="Heading2"/>
      </w:pPr>
      <w:r>
        <w:t>Numbers 12:8 — mouth to mouth, clearly, not in riddles</w:t>
      </w:r>
    </w:p>
    <w:p>
      <w:pPr/>
      <w:r>
        <w:rPr>
          <w:i w:val="0"/>
        </w:rPr>
        <w:t>Yahweh speaks with Moses “mouth to mouth,” mar’eh and not in chidoth, riddles/dark sayings. The sense is direct, clear communication rather than the symbolic ambiguity of ordinary visions.</w:t>
      </w:r>
    </w:p>
    <w:p>
      <w:pPr/>
      <w:r>
        <w:rPr>
          <w:i w:val="0"/>
        </w:rPr>
        <w:t>Moses also beholds the temunah, form/likeness/manifestation, of Yahweh. This should be read with Exodus 33:20, where Moses cannot see God’s unveiled face and live. The verse speaks of an authorised Divine manifestation, not unrestricted sight of the Father’s essence.</w:t>
      </w:r>
    </w:p>
    <w:p>
      <w:pPr>
        <w:pStyle w:val="Heading2"/>
      </w:pPr>
      <w:r>
        <w:t>Numbers 12:9 — anger and departure</w:t>
      </w:r>
    </w:p>
    <w:p>
      <w:pPr/>
      <w:r>
        <w:rPr>
          <w:i w:val="0"/>
        </w:rPr>
        <w:t>Yahweh’s anger is kindled against Miriam and Aaron, and the Divine manifestation departs.</w:t>
      </w:r>
    </w:p>
    <w:p>
      <w:pPr>
        <w:pStyle w:val="Heading1"/>
      </w:pPr>
      <w:r>
        <w:t>MIRIAM’S JUDGMENT — NUMBERS 12:10–12</w:t>
      </w:r>
    </w:p>
    <w:p>
      <w:pPr>
        <w:pStyle w:val="Heading2"/>
      </w:pPr>
      <w:r>
        <w:t>Numbers 12:10 — tsara‘at “as snow”</w:t>
      </w:r>
    </w:p>
    <w:p>
      <w:pPr/>
      <w:r>
        <w:rPr>
          <w:i w:val="0"/>
        </w:rPr>
        <w:t>When the cloud departs, Miriam is struck with tsara‘at “as snow.” KJV supplies “white” to make the comparison explicit, and the natural force of “as snow” is an appearance of whiteness.</w:t>
      </w:r>
    </w:p>
    <w:p>
      <w:pPr/>
      <w:r>
        <w:rPr>
          <w:i w:val="0"/>
        </w:rPr>
        <w:t>Mansfield’s attempt to remove “white” and reinterpret snow as wet/raw flesh because Leviticus 13 can pronounce an entirely white case clean is not persuasive. Leviticus 13:13 is a specific diagnostic circumstance, not a rule that every white tsara‘at lesion is clean.</w:t>
      </w:r>
    </w:p>
    <w:p>
      <w:pPr>
        <w:pStyle w:val="Heading2"/>
      </w:pPr>
      <w:r>
        <w:t>Numbers 12:11 — Aaron confesses</w:t>
      </w:r>
    </w:p>
    <w:p>
      <w:pPr/>
      <w:r>
        <w:rPr>
          <w:i w:val="0"/>
        </w:rPr>
        <w:t>Aaron acknowledges that he and Miriam acted foolishly and sinned, appealing to Moses.</w:t>
      </w:r>
    </w:p>
    <w:p>
      <w:pPr>
        <w:pStyle w:val="Heading2"/>
      </w:pPr>
      <w:r>
        <w:t>Numbers 12:12 — “as one dead”</w:t>
      </w:r>
    </w:p>
    <w:p>
      <w:pPr/>
      <w:r>
        <w:rPr>
          <w:i w:val="0"/>
        </w:rPr>
        <w:t>Aaron pleads that Miriam not remain like a stillborn/dead person whose flesh is half consumed. The imagery underscores the severity of her condition without requiring modern medical diagnosis.</w:t>
      </w:r>
    </w:p>
    <w:p>
      <w:pPr>
        <w:pStyle w:val="Heading1"/>
      </w:pPr>
      <w:r>
        <w:t>MOSES INTERCEDES — NUMBERS 12:13</w:t>
      </w:r>
    </w:p>
    <w:p>
      <w:pPr>
        <w:pStyle w:val="Heading2"/>
      </w:pPr>
      <w:r>
        <w:t>Numbers 12:13 — a brief, urgent prayer</w:t>
      </w:r>
    </w:p>
    <w:p>
      <w:pPr/>
      <w:r>
        <w:rPr>
          <w:i w:val="0"/>
        </w:rPr>
        <w:t>Moses cries, “Heal her now, O God, I beseech thee.” The Hebrew prayer is strikingly brief: El na, refa na lah.</w:t>
      </w:r>
    </w:p>
    <w:p>
      <w:pPr/>
      <w:r>
        <w:rPr>
          <w:i w:val="0"/>
        </w:rPr>
        <w:t>The man whose authority has been attacked seeks healing for the offender rather than vengeance.</w:t>
      </w:r>
    </w:p>
    <w:p>
      <w:pPr>
        <w:pStyle w:val="Heading1"/>
      </w:pPr>
      <w:r>
        <w:t>SEVEN DAYS OUTSIDE THE CAMP — NUMBERS 12:14–16</w:t>
      </w:r>
    </w:p>
    <w:p>
      <w:pPr>
        <w:pStyle w:val="Heading2"/>
      </w:pPr>
      <w:r>
        <w:t>Numbers 12:14 — shame and seven-day exclusion</w:t>
      </w:r>
    </w:p>
    <w:p>
      <w:pPr/>
      <w:r>
        <w:rPr>
          <w:i w:val="0"/>
        </w:rPr>
        <w:t>Yahweh compares the required period with the shame following a father’s spit in his daughter’s face and orders Miriam shut outside the camp seven days, then received again.</w:t>
      </w:r>
    </w:p>
    <w:p>
      <w:pPr>
        <w:pStyle w:val="Heading2"/>
      </w:pPr>
      <w:r>
        <w:t>Numbers 12:15 — the whole nation waits</w:t>
      </w:r>
    </w:p>
    <w:p>
      <w:pPr/>
      <w:r>
        <w:rPr>
          <w:i w:val="0"/>
        </w:rPr>
        <w:t>Miriam is excluded seven days and the people do not journey until she is brought back.</w:t>
      </w:r>
    </w:p>
    <w:p>
      <w:pPr/>
      <w:r>
        <w:rPr>
          <w:i w:val="0"/>
        </w:rPr>
        <w:t>The text does not specify the exact moment at which the tsara‘at disappeared; Mansfield’s claim that she necessarily remained leprous for all seven days is possible but not stated.</w:t>
      </w:r>
    </w:p>
    <w:p>
      <w:pPr>
        <w:pStyle w:val="Heading2"/>
      </w:pPr>
      <w:r>
        <w:t>Numbers 12:16 — onward to Paran</w:t>
      </w:r>
    </w:p>
    <w:p>
      <w:pPr/>
      <w:r>
        <w:rPr>
          <w:i w:val="0"/>
        </w:rPr>
        <w:t>After Miriam’s restoration, Israel leaves Hazeroth and camps in the wilderness of Paran, preparing for the spy mission of chapter 13.</w:t>
      </w:r>
    </w:p>
    <w:p>
      <w:pPr>
        <w:pStyle w:val="Heading1"/>
      </w:pPr>
      <w:r>
        <w:t>PRINCIPAL THEMES</w:t>
      </w:r>
    </w:p>
    <w:p>
      <w:pPr>
        <w:ind w:left="259" w:hanging="202"/>
      </w:pPr>
      <w:r>
        <w:rPr>
          <w:b/>
        </w:rPr>
        <w:t xml:space="preserve">• </w:t>
      </w:r>
      <w:r>
        <w:t>The wife is called Cushite; whether she is Zipporah or another woman is not settled by the chapter.</w:t>
      </w:r>
    </w:p>
    <w:p>
      <w:pPr>
        <w:ind w:left="259" w:hanging="202"/>
      </w:pPr>
      <w:r>
        <w:rPr>
          <w:b/>
        </w:rPr>
        <w:t xml:space="preserve">• </w:t>
      </w:r>
      <w:r>
        <w:t>Miriam may be the initiating speaker, but Aaron shares the challenge and later confesses.</w:t>
      </w:r>
    </w:p>
    <w:p>
      <w:pPr>
        <w:ind w:left="259" w:hanging="202"/>
      </w:pPr>
      <w:r>
        <w:rPr>
          <w:b/>
        </w:rPr>
        <w:t xml:space="preserve">• </w:t>
      </w:r>
      <w:r>
        <w:t>The real dispute is over Moses’ uniquely authenticated position before Yahweh.</w:t>
      </w:r>
    </w:p>
    <w:p>
      <w:pPr>
        <w:ind w:left="259" w:hanging="202"/>
      </w:pPr>
      <w:r>
        <w:rPr>
          <w:b/>
        </w:rPr>
        <w:t xml:space="preserve">• </w:t>
      </w:r>
      <w:r>
        <w:t>Hebrews 3:5 directly quotes Moses being faithful in all God’s house.</w:t>
      </w:r>
    </w:p>
    <w:p>
      <w:pPr>
        <w:ind w:left="259" w:hanging="202"/>
      </w:pPr>
      <w:r>
        <w:rPr>
          <w:b/>
        </w:rPr>
        <w:t xml:space="preserve">• </w:t>
      </w:r>
      <w:r>
        <w:t>“Mouth to mouth” means exceptional direct/plain revelation rather than sight of God’s unveiled essence.</w:t>
      </w:r>
    </w:p>
    <w:p>
      <w:pPr>
        <w:ind w:left="259" w:hanging="202"/>
      </w:pPr>
      <w:r>
        <w:rPr>
          <w:b/>
        </w:rPr>
        <w:t xml:space="preserve">• </w:t>
      </w:r>
      <w:r>
        <w:t>Miriam’s tsara‘at “as snow” naturally describes whiteness; Mansfield’s wet-snow reinterpretation is rejected.</w:t>
      </w:r>
    </w:p>
    <w:p>
      <w:pPr>
        <w:ind w:left="259" w:hanging="202"/>
      </w:pPr>
      <w:r>
        <w:rPr>
          <w:b/>
        </w:rPr>
        <w:t xml:space="preserve">• </w:t>
      </w:r>
      <w:r>
        <w:t>Moses responds to attack with immediate intercession for healing.</w:t>
      </w:r>
    </w:p>
    <w:p>
      <w:pPr>
        <w:ind w:left="259" w:hanging="202"/>
      </w:pPr>
      <w:r>
        <w:rPr>
          <w:b/>
        </w:rPr>
        <w:t xml:space="preserve">• </w:t>
      </w:r>
      <w:r>
        <w:t>The seven-day exclusion delays the whole camp, but the exact timing of Miriam’s physical healing is not stated.</w:t>
      </w:r>
    </w:p>
    <w:p>
      <w:pPr>
        <w:pStyle w:val="Heading1"/>
      </w:pPr>
      <w:r>
        <w:t>EDITORIAL VERIFICATION AND RECOVERED READINGS</w:t>
      </w:r>
    </w:p>
    <w:tbl>
      <w:tblPr>
        <w:tblStyle w:val="TableGrid"/>
        <w:tblW w:type="auto" w:w="0"/>
        <w:jc w:val="center"/>
        <w:tblLook w:firstColumn="1" w:firstRow="1" w:lastColumn="0" w:lastRow="0" w:noHBand="0" w:noVBand="1" w:val="04A0"/>
      </w:tblPr>
      <w:tblGrid>
        <w:gridCol w:w="3561"/>
        <w:gridCol w:w="3561"/>
        <w:gridCol w:w="3561"/>
      </w:tblGrid>
      <w:tr>
        <w:tc>
          <w:tcPr>
            <w:tcW w:type="dxa" w:w="3561"/>
          </w:tcPr>
          <w:p>
            <w:r>
              <w:rPr>
                <w:rFonts w:ascii="Arial" w:hAnsi="Arial"/>
                <w:b/>
                <w:sz w:val="15"/>
              </w:rPr>
              <w:t>Location</w:t>
            </w:r>
          </w:p>
        </w:tc>
        <w:tc>
          <w:tcPr>
            <w:tcW w:type="dxa" w:w="3561"/>
          </w:tcPr>
          <w:p>
            <w:r>
              <w:rPr>
                <w:rFonts w:ascii="Arial" w:hAnsi="Arial"/>
                <w:b/>
                <w:sz w:val="15"/>
              </w:rPr>
              <w:t>Checked / corrected reading</w:t>
            </w:r>
          </w:p>
        </w:tc>
        <w:tc>
          <w:tcPr>
            <w:tcW w:type="dxa" w:w="3561"/>
          </w:tcPr>
          <w:p>
            <w:r>
              <w:rPr>
                <w:rFonts w:ascii="Arial" w:hAnsi="Arial"/>
                <w:b/>
                <w:sz w:val="15"/>
              </w:rPr>
              <w:t>Basis</w:t>
            </w:r>
          </w:p>
        </w:tc>
      </w:tr>
      <w:tr>
        <w:tc>
          <w:tcPr>
            <w:tcW w:type="dxa" w:w="3561"/>
            <w:vAlign w:val="top"/>
          </w:tcPr>
          <w:p>
            <w:pPr>
              <w:spacing w:after="0"/>
            </w:pPr>
            <w:r>
              <w:rPr>
                <w:rFonts w:ascii="Times New Roman" w:hAnsi="Times New Roman"/>
                <w:sz w:val="14"/>
              </w:rPr>
              <w:t>Num. 12:1</w:t>
            </w:r>
          </w:p>
        </w:tc>
        <w:tc>
          <w:tcPr>
            <w:tcW w:type="dxa" w:w="3561"/>
            <w:vAlign w:val="top"/>
          </w:tcPr>
          <w:p>
            <w:pPr>
              <w:spacing w:after="0"/>
            </w:pPr>
            <w:r>
              <w:rPr>
                <w:rFonts w:ascii="Times New Roman" w:hAnsi="Times New Roman"/>
                <w:sz w:val="14"/>
              </w:rPr>
              <w:t>kushit</w:t>
            </w:r>
          </w:p>
        </w:tc>
        <w:tc>
          <w:tcPr>
            <w:tcW w:type="dxa" w:w="3561"/>
            <w:vAlign w:val="top"/>
          </w:tcPr>
          <w:p>
            <w:pPr>
              <w:spacing w:after="0"/>
            </w:pPr>
            <w:r>
              <w:rPr>
                <w:rFonts w:ascii="Times New Roman" w:hAnsi="Times New Roman"/>
                <w:sz w:val="14"/>
              </w:rPr>
              <w:t>Cushite; KJV “Ethiopian.”</w:t>
            </w:r>
          </w:p>
        </w:tc>
      </w:tr>
      <w:tr>
        <w:tc>
          <w:tcPr>
            <w:tcW w:type="dxa" w:w="3561"/>
            <w:vAlign w:val="top"/>
          </w:tcPr>
          <w:p>
            <w:pPr>
              <w:spacing w:after="0"/>
            </w:pPr>
            <w:r>
              <w:rPr>
                <w:rFonts w:ascii="Times New Roman" w:hAnsi="Times New Roman"/>
                <w:sz w:val="14"/>
              </w:rPr>
              <w:t>Num. 12:1</w:t>
            </w:r>
          </w:p>
        </w:tc>
        <w:tc>
          <w:tcPr>
            <w:tcW w:type="dxa" w:w="3561"/>
            <w:vAlign w:val="top"/>
          </w:tcPr>
          <w:p>
            <w:pPr>
              <w:spacing w:after="0"/>
            </w:pPr>
            <w:r>
              <w:rPr>
                <w:rFonts w:ascii="Times New Roman" w:hAnsi="Times New Roman"/>
                <w:sz w:val="14"/>
              </w:rPr>
              <w:t>identity of woman</w:t>
            </w:r>
          </w:p>
        </w:tc>
        <w:tc>
          <w:tcPr>
            <w:tcW w:type="dxa" w:w="3561"/>
            <w:vAlign w:val="top"/>
          </w:tcPr>
          <w:p>
            <w:pPr>
              <w:spacing w:after="0"/>
            </w:pPr>
            <w:r>
              <w:rPr>
                <w:rFonts w:ascii="Times New Roman" w:hAnsi="Times New Roman"/>
                <w:sz w:val="14"/>
              </w:rPr>
              <w:t>Zipporah versus another wife remains debated.</w:t>
            </w:r>
          </w:p>
        </w:tc>
      </w:tr>
      <w:tr>
        <w:tc>
          <w:tcPr>
            <w:tcW w:type="dxa" w:w="3561"/>
            <w:vAlign w:val="top"/>
          </w:tcPr>
          <w:p>
            <w:pPr>
              <w:spacing w:after="0"/>
            </w:pPr>
            <w:r>
              <w:rPr>
                <w:rFonts w:ascii="Times New Roman" w:hAnsi="Times New Roman"/>
                <w:sz w:val="14"/>
              </w:rPr>
              <w:t>Num. 12:1</w:t>
            </w:r>
          </w:p>
        </w:tc>
        <w:tc>
          <w:tcPr>
            <w:tcW w:type="dxa" w:w="3561"/>
            <w:vAlign w:val="top"/>
          </w:tcPr>
          <w:p>
            <w:pPr>
              <w:spacing w:after="0"/>
            </w:pPr>
            <w:r>
              <w:rPr>
                <w:rFonts w:ascii="Times New Roman" w:hAnsi="Times New Roman"/>
                <w:sz w:val="14"/>
              </w:rPr>
              <w:t>feminine singular opening verb</w:t>
            </w:r>
          </w:p>
        </w:tc>
        <w:tc>
          <w:tcPr>
            <w:tcW w:type="dxa" w:w="3561"/>
            <w:vAlign w:val="top"/>
          </w:tcPr>
          <w:p>
            <w:pPr>
              <w:spacing w:after="0"/>
            </w:pPr>
            <w:r>
              <w:rPr>
                <w:rFonts w:ascii="Times New Roman" w:hAnsi="Times New Roman"/>
                <w:sz w:val="14"/>
              </w:rPr>
              <w:t>May suggest Miriam initiated; both participate.</w:t>
            </w:r>
          </w:p>
        </w:tc>
      </w:tr>
      <w:tr>
        <w:tc>
          <w:tcPr>
            <w:tcW w:type="dxa" w:w="3561"/>
            <w:vAlign w:val="top"/>
          </w:tcPr>
          <w:p>
            <w:pPr>
              <w:spacing w:after="0"/>
            </w:pPr>
            <w:r>
              <w:rPr>
                <w:rFonts w:ascii="Times New Roman" w:hAnsi="Times New Roman"/>
                <w:sz w:val="14"/>
              </w:rPr>
              <w:t>Num. 12:2</w:t>
            </w:r>
          </w:p>
        </w:tc>
        <w:tc>
          <w:tcPr>
            <w:tcW w:type="dxa" w:w="3561"/>
            <w:vAlign w:val="top"/>
          </w:tcPr>
          <w:p>
            <w:pPr>
              <w:spacing w:after="0"/>
            </w:pPr>
            <w:r>
              <w:rPr>
                <w:rFonts w:ascii="Times New Roman" w:hAnsi="Times New Roman"/>
                <w:sz w:val="14"/>
              </w:rPr>
              <w:t>challenge to Moses’ revelation status</w:t>
            </w:r>
          </w:p>
        </w:tc>
        <w:tc>
          <w:tcPr>
            <w:tcW w:type="dxa" w:w="3561"/>
            <w:vAlign w:val="top"/>
          </w:tcPr>
          <w:p>
            <w:pPr>
              <w:spacing w:after="0"/>
            </w:pPr>
            <w:r>
              <w:rPr>
                <w:rFonts w:ascii="Times New Roman" w:hAnsi="Times New Roman"/>
                <w:sz w:val="14"/>
              </w:rPr>
              <w:t>Deeper issue than marriage complaint.</w:t>
            </w:r>
          </w:p>
        </w:tc>
      </w:tr>
      <w:tr>
        <w:tc>
          <w:tcPr>
            <w:tcW w:type="dxa" w:w="3561"/>
            <w:vAlign w:val="top"/>
          </w:tcPr>
          <w:p>
            <w:pPr>
              <w:spacing w:after="0"/>
            </w:pPr>
            <w:r>
              <w:rPr>
                <w:rFonts w:ascii="Times New Roman" w:hAnsi="Times New Roman"/>
                <w:sz w:val="14"/>
              </w:rPr>
              <w:t>Num. 12:3</w:t>
            </w:r>
          </w:p>
        </w:tc>
        <w:tc>
          <w:tcPr>
            <w:tcW w:type="dxa" w:w="3561"/>
            <w:vAlign w:val="top"/>
          </w:tcPr>
          <w:p>
            <w:pPr>
              <w:spacing w:after="0"/>
            </w:pPr>
            <w:r>
              <w:rPr>
                <w:rFonts w:ascii="Times New Roman" w:hAnsi="Times New Roman"/>
                <w:sz w:val="14"/>
              </w:rPr>
              <w:t>‘anav</w:t>
            </w:r>
          </w:p>
        </w:tc>
        <w:tc>
          <w:tcPr>
            <w:tcW w:type="dxa" w:w="3561"/>
            <w:vAlign w:val="top"/>
          </w:tcPr>
          <w:p>
            <w:pPr>
              <w:spacing w:after="0"/>
            </w:pPr>
            <w:r>
              <w:rPr>
                <w:rFonts w:ascii="Times New Roman" w:hAnsi="Times New Roman"/>
                <w:sz w:val="14"/>
              </w:rPr>
              <w:t>Meek/humble.</w:t>
            </w:r>
          </w:p>
        </w:tc>
      </w:tr>
      <w:tr>
        <w:tc>
          <w:tcPr>
            <w:tcW w:type="dxa" w:w="3561"/>
            <w:vAlign w:val="top"/>
          </w:tcPr>
          <w:p>
            <w:pPr>
              <w:spacing w:after="0"/>
            </w:pPr>
            <w:r>
              <w:rPr>
                <w:rFonts w:ascii="Times New Roman" w:hAnsi="Times New Roman"/>
                <w:sz w:val="14"/>
              </w:rPr>
              <w:t>Num. 12:6</w:t>
            </w:r>
          </w:p>
        </w:tc>
        <w:tc>
          <w:tcPr>
            <w:tcW w:type="dxa" w:w="3561"/>
            <w:vAlign w:val="top"/>
          </w:tcPr>
          <w:p>
            <w:pPr>
              <w:spacing w:after="0"/>
            </w:pPr>
            <w:r>
              <w:rPr>
                <w:rFonts w:ascii="Times New Roman" w:hAnsi="Times New Roman"/>
                <w:sz w:val="14"/>
              </w:rPr>
              <w:t>mar’ah / dream</w:t>
            </w:r>
          </w:p>
        </w:tc>
        <w:tc>
          <w:tcPr>
            <w:tcW w:type="dxa" w:w="3561"/>
            <w:vAlign w:val="top"/>
          </w:tcPr>
          <w:p>
            <w:pPr>
              <w:spacing w:after="0"/>
            </w:pPr>
            <w:r>
              <w:rPr>
                <w:rFonts w:ascii="Times New Roman" w:hAnsi="Times New Roman"/>
                <w:sz w:val="14"/>
              </w:rPr>
              <w:t>Vision/appearance and dream as ordinary prophetic modes.</w:t>
            </w:r>
          </w:p>
        </w:tc>
      </w:tr>
      <w:tr>
        <w:tc>
          <w:tcPr>
            <w:tcW w:type="dxa" w:w="3561"/>
            <w:vAlign w:val="top"/>
          </w:tcPr>
          <w:p>
            <w:pPr>
              <w:spacing w:after="0"/>
            </w:pPr>
            <w:r>
              <w:rPr>
                <w:rFonts w:ascii="Times New Roman" w:hAnsi="Times New Roman"/>
                <w:sz w:val="14"/>
              </w:rPr>
              <w:t>Num. 12:7</w:t>
            </w:r>
          </w:p>
        </w:tc>
        <w:tc>
          <w:tcPr>
            <w:tcW w:type="dxa" w:w="3561"/>
            <w:vAlign w:val="top"/>
          </w:tcPr>
          <w:p>
            <w:pPr>
              <w:spacing w:after="0"/>
            </w:pPr>
            <w:r>
              <w:rPr>
                <w:rFonts w:ascii="Times New Roman" w:hAnsi="Times New Roman"/>
                <w:sz w:val="14"/>
              </w:rPr>
              <w:t>faithful in all my house</w:t>
            </w:r>
          </w:p>
        </w:tc>
        <w:tc>
          <w:tcPr>
            <w:tcW w:type="dxa" w:w="3561"/>
            <w:vAlign w:val="top"/>
          </w:tcPr>
          <w:p>
            <w:pPr>
              <w:spacing w:after="0"/>
            </w:pPr>
            <w:r>
              <w:rPr>
                <w:rFonts w:ascii="Times New Roman" w:hAnsi="Times New Roman"/>
                <w:sz w:val="14"/>
              </w:rPr>
              <w:t>Quoted Heb. 3:5.</w:t>
            </w:r>
          </w:p>
        </w:tc>
      </w:tr>
      <w:tr>
        <w:tc>
          <w:tcPr>
            <w:tcW w:type="dxa" w:w="3561"/>
            <w:vAlign w:val="top"/>
          </w:tcPr>
          <w:p>
            <w:pPr>
              <w:spacing w:after="0"/>
            </w:pPr>
            <w:r>
              <w:rPr>
                <w:rFonts w:ascii="Times New Roman" w:hAnsi="Times New Roman"/>
                <w:sz w:val="14"/>
              </w:rPr>
              <w:t>Num. 12:8</w:t>
            </w:r>
          </w:p>
        </w:tc>
        <w:tc>
          <w:tcPr>
            <w:tcW w:type="dxa" w:w="3561"/>
            <w:vAlign w:val="top"/>
          </w:tcPr>
          <w:p>
            <w:pPr>
              <w:spacing w:after="0"/>
            </w:pPr>
            <w:r>
              <w:rPr>
                <w:rFonts w:ascii="Times New Roman" w:hAnsi="Times New Roman"/>
                <w:sz w:val="14"/>
              </w:rPr>
              <w:t>mouth to mouth</w:t>
            </w:r>
          </w:p>
        </w:tc>
        <w:tc>
          <w:tcPr>
            <w:tcW w:type="dxa" w:w="3561"/>
            <w:vAlign w:val="top"/>
          </w:tcPr>
          <w:p>
            <w:pPr>
              <w:spacing w:after="0"/>
            </w:pPr>
            <w:r>
              <w:rPr>
                <w:rFonts w:ascii="Times New Roman" w:hAnsi="Times New Roman"/>
                <w:sz w:val="14"/>
              </w:rPr>
              <w:t>Direct/plain communication.</w:t>
            </w:r>
          </w:p>
        </w:tc>
      </w:tr>
      <w:tr>
        <w:tc>
          <w:tcPr>
            <w:tcW w:type="dxa" w:w="3561"/>
            <w:vAlign w:val="top"/>
          </w:tcPr>
          <w:p>
            <w:pPr>
              <w:spacing w:after="0"/>
            </w:pPr>
            <w:r>
              <w:rPr>
                <w:rFonts w:ascii="Times New Roman" w:hAnsi="Times New Roman"/>
                <w:sz w:val="14"/>
              </w:rPr>
              <w:t>Num. 12:8</w:t>
            </w:r>
          </w:p>
        </w:tc>
        <w:tc>
          <w:tcPr>
            <w:tcW w:type="dxa" w:w="3561"/>
            <w:vAlign w:val="top"/>
          </w:tcPr>
          <w:p>
            <w:pPr>
              <w:spacing w:after="0"/>
            </w:pPr>
            <w:r>
              <w:rPr>
                <w:rFonts w:ascii="Times New Roman" w:hAnsi="Times New Roman"/>
                <w:sz w:val="14"/>
              </w:rPr>
              <w:t>chidoth</w:t>
            </w:r>
          </w:p>
        </w:tc>
        <w:tc>
          <w:tcPr>
            <w:tcW w:type="dxa" w:w="3561"/>
            <w:vAlign w:val="top"/>
          </w:tcPr>
          <w:p>
            <w:pPr>
              <w:spacing w:after="0"/>
            </w:pPr>
            <w:r>
              <w:rPr>
                <w:rFonts w:ascii="Times New Roman" w:hAnsi="Times New Roman"/>
                <w:sz w:val="14"/>
              </w:rPr>
              <w:t>Riddles/dark sayings.</w:t>
            </w:r>
          </w:p>
        </w:tc>
      </w:tr>
      <w:tr>
        <w:tc>
          <w:tcPr>
            <w:tcW w:type="dxa" w:w="3561"/>
            <w:vAlign w:val="top"/>
          </w:tcPr>
          <w:p>
            <w:pPr>
              <w:spacing w:after="0"/>
            </w:pPr>
            <w:r>
              <w:rPr>
                <w:rFonts w:ascii="Times New Roman" w:hAnsi="Times New Roman"/>
                <w:sz w:val="14"/>
              </w:rPr>
              <w:t>Num. 12:8</w:t>
            </w:r>
          </w:p>
        </w:tc>
        <w:tc>
          <w:tcPr>
            <w:tcW w:type="dxa" w:w="3561"/>
            <w:vAlign w:val="top"/>
          </w:tcPr>
          <w:p>
            <w:pPr>
              <w:spacing w:after="0"/>
            </w:pPr>
            <w:r>
              <w:rPr>
                <w:rFonts w:ascii="Times New Roman" w:hAnsi="Times New Roman"/>
                <w:sz w:val="14"/>
              </w:rPr>
              <w:t>temunah</w:t>
            </w:r>
          </w:p>
        </w:tc>
        <w:tc>
          <w:tcPr>
            <w:tcW w:type="dxa" w:w="3561"/>
            <w:vAlign w:val="top"/>
          </w:tcPr>
          <w:p>
            <w:pPr>
              <w:spacing w:after="0"/>
            </w:pPr>
            <w:r>
              <w:rPr>
                <w:rFonts w:ascii="Times New Roman" w:hAnsi="Times New Roman"/>
                <w:sz w:val="14"/>
              </w:rPr>
              <w:t>Form/likeness/manifestation; compare Ex. 33:20.</w:t>
            </w:r>
          </w:p>
        </w:tc>
      </w:tr>
      <w:tr>
        <w:tc>
          <w:tcPr>
            <w:tcW w:type="dxa" w:w="3561"/>
            <w:vAlign w:val="top"/>
          </w:tcPr>
          <w:p>
            <w:pPr>
              <w:spacing w:after="0"/>
            </w:pPr>
            <w:r>
              <w:rPr>
                <w:rFonts w:ascii="Times New Roman" w:hAnsi="Times New Roman"/>
                <w:sz w:val="14"/>
              </w:rPr>
              <w:t>Num. 12:10</w:t>
            </w:r>
          </w:p>
        </w:tc>
        <w:tc>
          <w:tcPr>
            <w:tcW w:type="dxa" w:w="3561"/>
            <w:vAlign w:val="top"/>
          </w:tcPr>
          <w:p>
            <w:pPr>
              <w:spacing w:after="0"/>
            </w:pPr>
            <w:r>
              <w:rPr>
                <w:rFonts w:ascii="Times New Roman" w:hAnsi="Times New Roman"/>
                <w:sz w:val="14"/>
              </w:rPr>
              <w:t>tsara‘at as snow</w:t>
            </w:r>
          </w:p>
        </w:tc>
        <w:tc>
          <w:tcPr>
            <w:tcW w:type="dxa" w:w="3561"/>
            <w:vAlign w:val="top"/>
          </w:tcPr>
          <w:p>
            <w:pPr>
              <w:spacing w:after="0"/>
            </w:pPr>
            <w:r>
              <w:rPr>
                <w:rFonts w:ascii="Times New Roman" w:hAnsi="Times New Roman"/>
                <w:sz w:val="14"/>
              </w:rPr>
              <w:t>Snow comparison naturally denotes whiteness/appearance.</w:t>
            </w:r>
          </w:p>
        </w:tc>
      </w:tr>
      <w:tr>
        <w:tc>
          <w:tcPr>
            <w:tcW w:type="dxa" w:w="3561"/>
            <w:vAlign w:val="top"/>
          </w:tcPr>
          <w:p>
            <w:pPr>
              <w:spacing w:after="0"/>
            </w:pPr>
            <w:r>
              <w:rPr>
                <w:rFonts w:ascii="Times New Roman" w:hAnsi="Times New Roman"/>
                <w:sz w:val="14"/>
              </w:rPr>
              <w:t>Lev. 13:13</w:t>
            </w:r>
          </w:p>
        </w:tc>
        <w:tc>
          <w:tcPr>
            <w:tcW w:type="dxa" w:w="3561"/>
            <w:vAlign w:val="top"/>
          </w:tcPr>
          <w:p>
            <w:pPr>
              <w:spacing w:after="0"/>
            </w:pPr>
            <w:r>
              <w:rPr>
                <w:rFonts w:ascii="Times New Roman" w:hAnsi="Times New Roman"/>
                <w:sz w:val="14"/>
              </w:rPr>
              <w:t>whole-body whiteness rule</w:t>
            </w:r>
          </w:p>
        </w:tc>
        <w:tc>
          <w:tcPr>
            <w:tcW w:type="dxa" w:w="3561"/>
            <w:vAlign w:val="top"/>
          </w:tcPr>
          <w:p>
            <w:pPr>
              <w:spacing w:after="0"/>
            </w:pPr>
            <w:r>
              <w:rPr>
                <w:rFonts w:ascii="Times New Roman" w:hAnsi="Times New Roman"/>
                <w:sz w:val="14"/>
              </w:rPr>
              <w:t>Specific diagnostic context; does not invalidate Num. 12:10.</w:t>
            </w:r>
          </w:p>
        </w:tc>
      </w:tr>
      <w:tr>
        <w:tc>
          <w:tcPr>
            <w:tcW w:type="dxa" w:w="3561"/>
            <w:vAlign w:val="top"/>
          </w:tcPr>
          <w:p>
            <w:pPr>
              <w:spacing w:after="0"/>
            </w:pPr>
            <w:r>
              <w:rPr>
                <w:rFonts w:ascii="Times New Roman" w:hAnsi="Times New Roman"/>
                <w:sz w:val="14"/>
              </w:rPr>
              <w:t>Num. 12:11</w:t>
            </w:r>
          </w:p>
        </w:tc>
        <w:tc>
          <w:tcPr>
            <w:tcW w:type="dxa" w:w="3561"/>
            <w:vAlign w:val="top"/>
          </w:tcPr>
          <w:p>
            <w:pPr>
              <w:spacing w:after="0"/>
            </w:pPr>
            <w:r>
              <w:rPr>
                <w:rFonts w:ascii="Times New Roman" w:hAnsi="Times New Roman"/>
                <w:sz w:val="14"/>
              </w:rPr>
              <w:t>foolishness + sin confessed</w:t>
            </w:r>
          </w:p>
        </w:tc>
        <w:tc>
          <w:tcPr>
            <w:tcW w:type="dxa" w:w="3561"/>
            <w:vAlign w:val="top"/>
          </w:tcPr>
          <w:p>
            <w:pPr>
              <w:spacing w:after="0"/>
            </w:pPr>
            <w:r>
              <w:rPr>
                <w:rFonts w:ascii="Times New Roman" w:hAnsi="Times New Roman"/>
                <w:sz w:val="14"/>
              </w:rPr>
              <w:t>Aaron acknowledges joint guilt.</w:t>
            </w:r>
          </w:p>
        </w:tc>
      </w:tr>
      <w:tr>
        <w:tc>
          <w:tcPr>
            <w:tcW w:type="dxa" w:w="3561"/>
            <w:vAlign w:val="top"/>
          </w:tcPr>
          <w:p>
            <w:pPr>
              <w:spacing w:after="0"/>
            </w:pPr>
            <w:r>
              <w:rPr>
                <w:rFonts w:ascii="Times New Roman" w:hAnsi="Times New Roman"/>
                <w:sz w:val="14"/>
              </w:rPr>
              <w:t>Num. 12:13</w:t>
            </w:r>
          </w:p>
        </w:tc>
        <w:tc>
          <w:tcPr>
            <w:tcW w:type="dxa" w:w="3561"/>
            <w:vAlign w:val="top"/>
          </w:tcPr>
          <w:p>
            <w:pPr>
              <w:spacing w:after="0"/>
            </w:pPr>
            <w:r>
              <w:rPr>
                <w:rFonts w:ascii="Times New Roman" w:hAnsi="Times New Roman"/>
                <w:sz w:val="14"/>
              </w:rPr>
              <w:t>El na, refa na lah</w:t>
            </w:r>
          </w:p>
        </w:tc>
        <w:tc>
          <w:tcPr>
            <w:tcW w:type="dxa" w:w="3561"/>
            <w:vAlign w:val="top"/>
          </w:tcPr>
          <w:p>
            <w:pPr>
              <w:spacing w:after="0"/>
            </w:pPr>
            <w:r>
              <w:rPr>
                <w:rFonts w:ascii="Times New Roman" w:hAnsi="Times New Roman"/>
                <w:sz w:val="14"/>
              </w:rPr>
              <w:t>Brief urgent healing prayer.</w:t>
            </w:r>
          </w:p>
        </w:tc>
      </w:tr>
      <w:tr>
        <w:tc>
          <w:tcPr>
            <w:tcW w:type="dxa" w:w="3561"/>
            <w:vAlign w:val="top"/>
          </w:tcPr>
          <w:p>
            <w:pPr>
              <w:spacing w:after="0"/>
            </w:pPr>
            <w:r>
              <w:rPr>
                <w:rFonts w:ascii="Times New Roman" w:hAnsi="Times New Roman"/>
                <w:sz w:val="14"/>
              </w:rPr>
              <w:t>Num. 12:14–15</w:t>
            </w:r>
          </w:p>
        </w:tc>
        <w:tc>
          <w:tcPr>
            <w:tcW w:type="dxa" w:w="3561"/>
            <w:vAlign w:val="top"/>
          </w:tcPr>
          <w:p>
            <w:pPr>
              <w:spacing w:after="0"/>
            </w:pPr>
            <w:r>
              <w:rPr>
                <w:rFonts w:ascii="Times New Roman" w:hAnsi="Times New Roman"/>
                <w:sz w:val="14"/>
              </w:rPr>
              <w:t>seven days outside</w:t>
            </w:r>
          </w:p>
        </w:tc>
        <w:tc>
          <w:tcPr>
            <w:tcW w:type="dxa" w:w="3561"/>
            <w:vAlign w:val="top"/>
          </w:tcPr>
          <w:p>
            <w:pPr>
              <w:spacing w:after="0"/>
            </w:pPr>
            <w:r>
              <w:rPr>
                <w:rFonts w:ascii="Times New Roman" w:hAnsi="Times New Roman"/>
                <w:sz w:val="14"/>
              </w:rPr>
              <w:t>Exclusion explicit; exact healing moment unstated.</w:t>
            </w:r>
          </w:p>
        </w:tc>
      </w:tr>
      <w:tr>
        <w:tc>
          <w:tcPr>
            <w:tcW w:type="dxa" w:w="3561"/>
            <w:vAlign w:val="top"/>
          </w:tcPr>
          <w:p>
            <w:pPr>
              <w:spacing w:after="0"/>
            </w:pPr>
            <w:r>
              <w:rPr>
                <w:rFonts w:ascii="Times New Roman" w:hAnsi="Times New Roman"/>
                <w:sz w:val="14"/>
              </w:rPr>
              <w:t>Num. 12:16</w:t>
            </w:r>
          </w:p>
        </w:tc>
        <w:tc>
          <w:tcPr>
            <w:tcW w:type="dxa" w:w="3561"/>
            <w:vAlign w:val="top"/>
          </w:tcPr>
          <w:p>
            <w:pPr>
              <w:spacing w:after="0"/>
            </w:pPr>
            <w:r>
              <w:rPr>
                <w:rFonts w:ascii="Times New Roman" w:hAnsi="Times New Roman"/>
                <w:sz w:val="14"/>
              </w:rPr>
              <w:t>Paran</w:t>
            </w:r>
          </w:p>
        </w:tc>
        <w:tc>
          <w:tcPr>
            <w:tcW w:type="dxa" w:w="3561"/>
            <w:vAlign w:val="top"/>
          </w:tcPr>
          <w:p>
            <w:pPr>
              <w:spacing w:after="0"/>
            </w:pPr>
            <w:r>
              <w:rPr>
                <w:rFonts w:ascii="Times New Roman" w:hAnsi="Times New Roman"/>
                <w:sz w:val="14"/>
              </w:rPr>
              <w:t>Next camp after restoration.</w:t>
            </w:r>
          </w:p>
        </w:tc>
      </w:tr>
    </w:tbl>
    <w:p>
      <w:pPr>
        <w:pStyle w:val="Heading1"/>
      </w:pPr>
      <w:r>
        <w:t>RESIDUAL UNCERTAINTIES</w:t>
      </w:r>
    </w:p>
    <w:p>
      <w:pPr/>
      <w:r>
        <w:rPr>
          <w:i w:val="0"/>
        </w:rPr>
        <w:t>The identity of Moses’ Cushite wife and Miriam’s exact healing moment remain unresolved. The nature of the Divine “form” Moses beheld must be kept within the limits set by Exodus 33 and should not be used to claim unrestricted vision of God’s essence. Tsara‘at is a biblical ritual-affliction category and should not be assigned a modern diagnosis.</w:t>
      </w:r>
    </w:p>
    <w:sectPr w:rsidR="00FC693F" w:rsidRPr="0006063C" w:rsidSect="00034616">
      <w:headerReference w:type="default" r:id="rId9"/>
      <w:footerReference w:type="default" r:id="rId10"/>
      <w:pgSz w:w="12240" w:h="15840"/>
      <w:pgMar w:top="749" w:right="778" w:bottom="749" w:left="778" w:header="288" w:footer="28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16"/>
      </w:rP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b/>
        <w:color w:val="555555"/>
        <w:sz w:val="16"/>
      </w:rPr>
      <w:t>H. P. MANSFIELD BIBLE NOTES  •  NUMBERS 12</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3" w:line="240" w:lineRule="auto"/>
    </w:pPr>
    <w:rPr>
      <w:rFonts w:ascii="Times New Roman" w:hAnsi="Times New Roman"/>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62" w:after="14"/>
      <w:outlineLvl w:val="0"/>
    </w:pPr>
    <w:rPr>
      <w:rFonts w:asciiTheme="majorHAnsi" w:eastAsiaTheme="majorEastAsia" w:hAnsiTheme="majorHAnsi" w:cstheme="majorBidi" w:ascii="Arial" w:hAnsi="Arial"/>
      <w:b/>
      <w:bCs/>
      <w:color w:val="2761A1"/>
      <w:sz w:val="24"/>
      <w:szCs w:val="28"/>
    </w:rPr>
  </w:style>
  <w:style w:type="paragraph" w:styleId="Heading2">
    <w:name w:val="heading 2"/>
    <w:basedOn w:val="Normal"/>
    <w:next w:val="Normal"/>
    <w:link w:val="Heading2Char"/>
    <w:uiPriority w:val="9"/>
    <w:unhideWhenUsed/>
    <w:qFormat/>
    <w:rsid w:val="00FC693F"/>
    <w:pPr>
      <w:keepNext/>
      <w:keepLines/>
      <w:spacing w:before="34" w:after="14"/>
      <w:outlineLvl w:val="1"/>
    </w:pPr>
    <w:rPr>
      <w:rFonts w:asciiTheme="majorHAnsi" w:eastAsiaTheme="majorEastAsia" w:hAnsiTheme="majorHAnsi" w:cstheme="majorBidi" w:ascii="Arial" w:hAnsi="Arial"/>
      <w:b/>
      <w:bCs/>
      <w:color w:val="2761A1"/>
      <w:sz w:val="2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184064"/>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b/>
      <w:i/>
      <w:iCs/>
      <w:color w:val="367ED2"/>
      <w:spacing w:val="15"/>
      <w:sz w:val="21"/>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