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13</w:t>
      </w:r>
    </w:p>
    <w:p>
      <w:pPr>
        <w:pStyle w:val="Subtitle"/>
      </w:pPr>
      <w:r>
        <w:t>THE SPIES SEARCH CANAAN • HOSHEA BECOMES JOSHUA • FORTY DAYS • ESHCOL FRUIT • THE LAND IS GOOD • CALEB: “WE ARE WELL ABLE” • TEN: “WE BE NOT ABLE”</w:t>
      </w:r>
    </w:p>
    <w:p>
      <w:pPr/>
      <w:r>
        <w:rPr>
          <w:i/>
        </w:rPr>
        <w:t>H. P. Mansfield Bible notes — checked and arranged in verse-by-verse Expositor style</w:t>
      </w:r>
    </w:p>
    <w:p>
      <w:pPr/>
      <w:r>
        <w:rPr>
          <w:i w:val="0"/>
        </w:rPr>
        <w:t>Source: HPB 03-Lev12-Num36.PDF, pp. 56–58 including inserted route/map material; cross-checked with Mansfield’s Numbers Expositor Chapter 13.</w:t>
      </w:r>
    </w:p>
    <w:p>
      <w:pPr>
        <w:pStyle w:val="Heading1"/>
      </w:pPr>
      <w:r>
        <w:t>CHAPTER OVERVIEW</w:t>
      </w:r>
    </w:p>
    <w:p>
      <w:pPr/>
      <w:r>
        <w:rPr>
          <w:i w:val="0"/>
        </w:rPr>
        <w:t>Numbers 13 records a reconnaissance that confirms Yahweh’s description of the land but exposes the interpreters. Ten spies turn real obstacles into an argument that Yahweh’s promise cannot be trusted; Caleb and Joshua see the same facts through faith.</w:t>
      </w:r>
    </w:p>
    <w:p>
      <w:pPr/>
      <w:r>
        <w:rPr>
          <w:i w:val="0"/>
        </w:rPr>
        <w:t>Deuteronomy 1:22 shows that the proposal to send spies originated with Israel. Numbers 13:1–3 records Yahweh’s command permitting and regulating that request. The two accounts therefore complement rather than contradict one another.</w:t>
      </w:r>
    </w:p>
    <w:p>
      <w:pPr>
        <w:pStyle w:val="Heading1"/>
      </w:pPr>
      <w:r>
        <w:t>THE TWELVE SPIES — NUMBERS 13:1–16</w:t>
      </w:r>
    </w:p>
    <w:p>
      <w:pPr>
        <w:pStyle w:val="Heading2"/>
      </w:pPr>
      <w:r>
        <w:t>Numbers 13:1–3 — Israel requested; Yahweh authorises</w:t>
      </w:r>
    </w:p>
    <w:p>
      <w:pPr/>
      <w:r>
        <w:rPr>
          <w:i w:val="0"/>
        </w:rPr>
        <w:t>Yahweh tells Moses to send one leading man from each tribe. Deuteronomy 1:22 supplies the prior circumstance: the people proposed the reconnaissance and Moses approved it before Yahweh gave the command governing the mission.</w:t>
      </w:r>
    </w:p>
    <w:p>
      <w:pPr/>
      <w:r>
        <w:rPr>
          <w:i w:val="0"/>
        </w:rPr>
        <w:t>The spies are tribal heads/leaders, but they are not the same named princes who assisted the census in Numbers 1.</w:t>
      </w:r>
    </w:p>
    <w:p>
      <w:pPr>
        <w:pStyle w:val="Heading2"/>
      </w:pPr>
      <w:r>
        <w:t>Numbers 13:4–15 — names recorded</w:t>
      </w:r>
    </w:p>
    <w:p>
      <w:pPr/>
      <w:r>
        <w:rPr>
          <w:i w:val="0"/>
        </w:rPr>
        <w:t>One representative is named from each non-Levite tribe. Joseph is represented through Manasseh and Ephraim.</w:t>
      </w:r>
    </w:p>
    <w:p>
      <w:pPr/>
      <w:r>
        <w:rPr>
          <w:i w:val="0"/>
        </w:rPr>
        <w:t>Mansfield constructs long devotional sentences from the name meanings. Individual etymologies may illuminate, but the combined sentences are not hidden inspired prophecies.</w:t>
      </w:r>
    </w:p>
    <w:p>
      <w:pPr>
        <w:pStyle w:val="Heading2"/>
      </w:pPr>
      <w:r>
        <w:t>Numbers 13:16 — Hoshea renamed Joshua</w:t>
      </w:r>
    </w:p>
    <w:p>
      <w:pPr/>
      <w:r>
        <w:rPr>
          <w:i w:val="0"/>
        </w:rPr>
        <w:t>Moses calls Hoshea son of Nun Yehoshua/Joshua. Hoshea relates to salvation/help; Yehoshua explicitly associates salvation with Yahweh: “Yahweh saves / Yahweh is salvation.”</w:t>
      </w:r>
    </w:p>
    <w:p>
      <w:pPr/>
      <w:r>
        <w:rPr>
          <w:i w:val="0"/>
        </w:rPr>
        <w:t>The Greek name Iesous, rendered Jesus or Joshua according to context, represents the same Hebrew name-family; the spiritual connection is genuine without requiring speculative numerology.</w:t>
      </w:r>
    </w:p>
    <w:p>
      <w:pPr>
        <w:pStyle w:val="Heading1"/>
      </w:pPr>
      <w:r>
        <w:t>THE COMMISSION — NUMBERS 13:17–20</w:t>
      </w:r>
    </w:p>
    <w:p>
      <w:pPr>
        <w:pStyle w:val="Heading2"/>
      </w:pPr>
      <w:r>
        <w:t>Numbers 13:17–20 — gather evidence, do not redefine the promise</w:t>
      </w:r>
    </w:p>
    <w:p>
      <w:pPr/>
      <w:r>
        <w:rPr>
          <w:i w:val="0"/>
        </w:rPr>
        <w:t>Moses tells the spies to examine the people, cities, strength, soil, vegetation and fruit, and to be courageous.</w:t>
      </w:r>
    </w:p>
    <w:p>
      <w:pPr/>
      <w:r>
        <w:rPr>
          <w:i w:val="0"/>
        </w:rPr>
        <w:t>Reconnaissance and planning are compatible with faith. The mission is to learn the conditions of possession, not to decide whether Yahweh is capable of fulfilling His oath.</w:t>
      </w:r>
    </w:p>
    <w:p>
      <w:pPr>
        <w:pStyle w:val="Heading1"/>
      </w:pPr>
      <w:r>
        <w:t>FORTY DAYS IN THE LAND — NUMBERS 13:21–25</w:t>
      </w:r>
    </w:p>
    <w:p>
      <w:pPr>
        <w:pStyle w:val="Heading2"/>
      </w:pPr>
      <w:r>
        <w:t>Numbers 13:21 — from Zin toward Rehob/Lebo-hamath</w:t>
      </w:r>
    </w:p>
    <w:p>
      <w:pPr/>
      <w:r>
        <w:rPr>
          <w:i w:val="0"/>
        </w:rPr>
        <w:t>The spies search the land from the wilderness of Zin as far as Rehob in the direction of Lebo-hamath, describing a broad northward reconnaissance.</w:t>
      </w:r>
    </w:p>
    <w:p>
      <w:pPr/>
      <w:r>
        <w:rPr>
          <w:i w:val="0"/>
        </w:rPr>
        <w:t>Exact identification of every route point remains debated, so the inserted map is useful orientation rather than a precise GPS itinerary.</w:t>
      </w:r>
    </w:p>
    <w:p>
      <w:pPr>
        <w:pStyle w:val="Heading2"/>
      </w:pPr>
      <w:r>
        <w:t>Numbers 13:22 — Hebron and the Anakim</w:t>
      </w:r>
    </w:p>
    <w:p>
      <w:pPr/>
      <w:r>
        <w:rPr>
          <w:i w:val="0"/>
        </w:rPr>
        <w:t>At Hebron the spies encounter Ahiman, Sheshai and Talmai, descendants of Anak. The parenthetical statement says Hebron was built seven years before Zoan in Egypt.</w:t>
      </w:r>
    </w:p>
    <w:p>
      <w:pPr/>
      <w:r>
        <w:rPr>
          <w:i w:val="0"/>
        </w:rPr>
        <w:t>Mansfield’s extensive symbolic contrast between Hebron and Zoan goes beyond the historical statement. The verse chiefly underlines Hebron’s antiquity.</w:t>
      </w:r>
    </w:p>
    <w:p>
      <w:pPr>
        <w:pStyle w:val="Heading2"/>
      </w:pPr>
      <w:r>
        <w:t>Numbers 13:23–24 — the cluster of Eshcol</w:t>
      </w:r>
    </w:p>
    <w:p>
      <w:pPr/>
      <w:r>
        <w:rPr>
          <w:i w:val="0"/>
        </w:rPr>
        <w:t>A large cluster of grapes is cut in the valley/wadi of Eshcol and borne on a pole between two men, together with pomegranates and figs.</w:t>
      </w:r>
    </w:p>
    <w:p>
      <w:pPr/>
      <w:r>
        <w:rPr>
          <w:i w:val="0"/>
        </w:rPr>
        <w:t>Nachal can denote a wadi/valley or stream-bed; “brook” in the KJV need not imply a permanently flowing river.</w:t>
      </w:r>
    </w:p>
    <w:p>
      <w:pPr>
        <w:pStyle w:val="Heading2"/>
      </w:pPr>
      <w:r>
        <w:t>Numbers 13:25 — forty days</w:t>
      </w:r>
    </w:p>
    <w:p>
      <w:pPr/>
      <w:r>
        <w:rPr>
          <w:i w:val="0"/>
        </w:rPr>
        <w:t>The search lasts forty days. Scripture later makes the forty-day period the explicit basis of the forty-year judgment in Numbers 14:34.</w:t>
      </w:r>
    </w:p>
    <w:p>
      <w:pPr/>
      <w:r>
        <w:rPr>
          <w:i w:val="0"/>
        </w:rPr>
        <w:t>Mansfield’s wider “forty = probation” pattern is a legitimate biblical observation but should remain secondary to the explicit chapter connection.</w:t>
      </w:r>
    </w:p>
    <w:p>
      <w:pPr>
        <w:pStyle w:val="Heading1"/>
      </w:pPr>
      <w:r>
        <w:t>THE REPORT — NUMBERS 13:26–33</w:t>
      </w:r>
    </w:p>
    <w:p>
      <w:pPr>
        <w:pStyle w:val="Heading2"/>
      </w:pPr>
      <w:r>
        <w:t>Numbers 13:26–27 — the evidence confirms Yahweh</w:t>
      </w:r>
    </w:p>
    <w:p>
      <w:pPr/>
      <w:r>
        <w:rPr>
          <w:i w:val="0"/>
        </w:rPr>
        <w:t>The spies return to Kadesh in the wilderness of Paran, display the fruit and admit that the land truly flows with milk and honey.</w:t>
      </w:r>
    </w:p>
    <w:p>
      <w:pPr/>
      <w:r>
        <w:rPr>
          <w:i w:val="0"/>
        </w:rPr>
        <w:t>The crisis therefore does not arise from false promises or deficient evidence.</w:t>
      </w:r>
    </w:p>
    <w:p>
      <w:pPr>
        <w:pStyle w:val="Heading2"/>
      </w:pPr>
      <w:r>
        <w:t>Numbers 13:28–29 — real obstacles become a faithless conclusion</w:t>
      </w:r>
    </w:p>
    <w:p>
      <w:pPr/>
      <w:r>
        <w:rPr>
          <w:i w:val="0"/>
        </w:rPr>
        <w:t>The majority stress fortified cities, strong inhabitants, Anakim and the various peoples occupying the land. The facts are not necessarily false; the error lies in treating them as if Yahweh were absent.</w:t>
      </w:r>
    </w:p>
    <w:p>
      <w:pPr>
        <w:pStyle w:val="Heading2"/>
      </w:pPr>
      <w:r>
        <w:t>Numbers 13:30 — Caleb: “we are well able”</w:t>
      </w:r>
    </w:p>
    <w:p>
      <w:pPr/>
      <w:r>
        <w:rPr>
          <w:i w:val="0"/>
        </w:rPr>
        <w:t>Caleb stills the people and urges immediate ascent and possession. His confidence is not boastful trust in Israelite strength; chapter 14 makes explicit that Yahweh’s presence is the decisive factor.</w:t>
      </w:r>
    </w:p>
    <w:p>
      <w:pPr>
        <w:pStyle w:val="Heading2"/>
      </w:pPr>
      <w:r>
        <w:t>Numbers 13:31–32 — “we be not able” and an evil report</w:t>
      </w:r>
    </w:p>
    <w:p>
      <w:pPr/>
      <w:r>
        <w:rPr>
          <w:i w:val="0"/>
        </w:rPr>
        <w:t>The ten reply that Israel is not able to go against the inhabitants and spread a dibbah, evil report/slander, concerning the land.</w:t>
      </w:r>
    </w:p>
    <w:p>
      <w:pPr/>
      <w:r>
        <w:rPr>
          <w:i w:val="0"/>
        </w:rPr>
        <w:t>The claim that the land “eateth up the inhabitants thereof” is part of the spies’ rhetorical report and should not be treated as a neutral geographical fact.</w:t>
      </w:r>
    </w:p>
    <w:p>
      <w:pPr>
        <w:pStyle w:val="Heading2"/>
      </w:pPr>
      <w:r>
        <w:t>Numbers 13:33 — Nephilim, Anakim and grasshoppers</w:t>
      </w:r>
    </w:p>
    <w:p>
      <w:pPr/>
      <w:r>
        <w:rPr>
          <w:i w:val="0"/>
        </w:rPr>
        <w:t>The spies say they saw the Nephilim, associating the sons of Anak with them, and that Israel seemed like grasshoppers both in its own sight and, they assume, in the inhabitants’ sight.</w:t>
      </w:r>
    </w:p>
    <w:p>
      <w:pPr/>
      <w:r>
        <w:rPr>
          <w:i w:val="0"/>
        </w:rPr>
        <w:t>Nephilim should not be converted into supernatural beings on the basis of this verse. The statement belongs to a fear-saturated report, and “so we were in their sight” is the spies’ own inference.</w:t>
      </w:r>
    </w:p>
    <w:p>
      <w:pPr>
        <w:pStyle w:val="Heading1"/>
      </w:pPr>
      <w:r>
        <w:t>PRINCIPAL THEMES</w:t>
      </w:r>
    </w:p>
    <w:p>
      <w:pPr>
        <w:ind w:left="259" w:hanging="202"/>
      </w:pPr>
      <w:r>
        <w:rPr>
          <w:b/>
        </w:rPr>
        <w:t xml:space="preserve">• </w:t>
      </w:r>
      <w:r>
        <w:t>The people initiated the spy proposal; Yahweh then authorised and regulated it.</w:t>
      </w:r>
    </w:p>
    <w:p>
      <w:pPr>
        <w:ind w:left="259" w:hanging="202"/>
      </w:pPr>
      <w:r>
        <w:rPr>
          <w:b/>
        </w:rPr>
        <w:t xml:space="preserve">• </w:t>
      </w:r>
      <w:r>
        <w:t>Hoshea → Joshua shifts explicit emphasis to Yahweh as the source of salvation.</w:t>
      </w:r>
    </w:p>
    <w:p>
      <w:pPr>
        <w:ind w:left="259" w:hanging="202"/>
      </w:pPr>
      <w:r>
        <w:rPr>
          <w:b/>
        </w:rPr>
        <w:t xml:space="preserve">• </w:t>
      </w:r>
      <w:r>
        <w:t>The reconnaissance confirms that the promised land really is good.</w:t>
      </w:r>
    </w:p>
    <w:p>
      <w:pPr>
        <w:ind w:left="259" w:hanging="202"/>
      </w:pPr>
      <w:r>
        <w:rPr>
          <w:b/>
        </w:rPr>
        <w:t xml:space="preserve">• </w:t>
      </w:r>
      <w:r>
        <w:t>Hebron’s ‘seven years before Zoan’ statement chiefly marks antiquity; elaborate symbolic history is secondary.</w:t>
      </w:r>
    </w:p>
    <w:p>
      <w:pPr>
        <w:ind w:left="259" w:hanging="202"/>
      </w:pPr>
      <w:r>
        <w:rPr>
          <w:b/>
        </w:rPr>
        <w:t xml:space="preserve">• </w:t>
      </w:r>
      <w:r>
        <w:t>Nachal Eshcol is a valley/wadi, not necessarily a permanently flowing brook.</w:t>
      </w:r>
    </w:p>
    <w:p>
      <w:pPr>
        <w:ind w:left="259" w:hanging="202"/>
      </w:pPr>
      <w:r>
        <w:rPr>
          <w:b/>
        </w:rPr>
        <w:t xml:space="preserve">• </w:t>
      </w:r>
      <w:r>
        <w:t>Forty days later become the explicit basis of forty years of judgment.</w:t>
      </w:r>
    </w:p>
    <w:p>
      <w:pPr>
        <w:ind w:left="259" w:hanging="202"/>
      </w:pPr>
      <w:r>
        <w:rPr>
          <w:b/>
        </w:rPr>
        <w:t xml:space="preserve">• </w:t>
      </w:r>
      <w:r>
        <w:t>The ten spies’ error is interpretive unbelief, not necessarily fabrication of every observable obstacle.</w:t>
      </w:r>
    </w:p>
    <w:p>
      <w:pPr>
        <w:ind w:left="259" w:hanging="202"/>
      </w:pPr>
      <w:r>
        <w:rPr>
          <w:b/>
        </w:rPr>
        <w:t xml:space="preserve">• </w:t>
      </w:r>
      <w:r>
        <w:t>Nephilim language must not be inflated into unsupported supernatural anthropology.</w:t>
      </w:r>
    </w:p>
    <w:p>
      <w:pPr>
        <w:ind w:left="259" w:hanging="202"/>
      </w:pPr>
      <w:r>
        <w:rPr>
          <w:b/>
        </w:rPr>
        <w:t xml:space="preserve">• </w:t>
      </w:r>
      <w:r>
        <w:t>Faith accepts the facts and includes Yahweh; unbelief treats the same facts as if Yahweh were absent.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13:1–3</w:t>
            </w:r>
          </w:p>
        </w:tc>
        <w:tc>
          <w:tcPr>
            <w:tcW w:type="dxa" w:w="3561"/>
            <w:vAlign w:val="top"/>
          </w:tcPr>
          <w:p>
            <w:pPr>
              <w:spacing w:after="0"/>
            </w:pPr>
            <w:r>
              <w:rPr>
                <w:rFonts w:ascii="Times New Roman" w:hAnsi="Times New Roman"/>
                <w:sz w:val="14"/>
              </w:rPr>
              <w:t>send spies under Yahweh’s command</w:t>
            </w:r>
          </w:p>
        </w:tc>
        <w:tc>
          <w:tcPr>
            <w:tcW w:type="dxa" w:w="3561"/>
            <w:vAlign w:val="top"/>
          </w:tcPr>
          <w:p>
            <w:pPr>
              <w:spacing w:after="0"/>
            </w:pPr>
            <w:r>
              <w:rPr>
                <w:rFonts w:ascii="Times New Roman" w:hAnsi="Times New Roman"/>
                <w:sz w:val="14"/>
              </w:rPr>
              <w:t>Deut. 1:22 records the people’s prior request.</w:t>
            </w:r>
          </w:p>
        </w:tc>
      </w:tr>
      <w:tr>
        <w:tc>
          <w:tcPr>
            <w:tcW w:type="dxa" w:w="3561"/>
            <w:vAlign w:val="top"/>
          </w:tcPr>
          <w:p>
            <w:pPr>
              <w:spacing w:after="0"/>
            </w:pPr>
            <w:r>
              <w:rPr>
                <w:rFonts w:ascii="Times New Roman" w:hAnsi="Times New Roman"/>
                <w:sz w:val="14"/>
              </w:rPr>
              <w:t>Num. 13:3</w:t>
            </w:r>
          </w:p>
        </w:tc>
        <w:tc>
          <w:tcPr>
            <w:tcW w:type="dxa" w:w="3561"/>
            <w:vAlign w:val="top"/>
          </w:tcPr>
          <w:p>
            <w:pPr>
              <w:spacing w:after="0"/>
            </w:pPr>
            <w:r>
              <w:rPr>
                <w:rFonts w:ascii="Times New Roman" w:hAnsi="Times New Roman"/>
                <w:sz w:val="14"/>
              </w:rPr>
              <w:t>heads of Israel</w:t>
            </w:r>
          </w:p>
        </w:tc>
        <w:tc>
          <w:tcPr>
            <w:tcW w:type="dxa" w:w="3561"/>
            <w:vAlign w:val="top"/>
          </w:tcPr>
          <w:p>
            <w:pPr>
              <w:spacing w:after="0"/>
            </w:pPr>
            <w:r>
              <w:rPr>
                <w:rFonts w:ascii="Times New Roman" w:hAnsi="Times New Roman"/>
                <w:sz w:val="14"/>
              </w:rPr>
              <w:t>Not the same named census princes of Num. 1.</w:t>
            </w:r>
          </w:p>
        </w:tc>
      </w:tr>
      <w:tr>
        <w:tc>
          <w:tcPr>
            <w:tcW w:type="dxa" w:w="3561"/>
            <w:vAlign w:val="top"/>
          </w:tcPr>
          <w:p>
            <w:pPr>
              <w:spacing w:after="0"/>
            </w:pPr>
            <w:r>
              <w:rPr>
                <w:rFonts w:ascii="Times New Roman" w:hAnsi="Times New Roman"/>
                <w:sz w:val="14"/>
              </w:rPr>
              <w:t>Num. 13:16</w:t>
            </w:r>
          </w:p>
        </w:tc>
        <w:tc>
          <w:tcPr>
            <w:tcW w:type="dxa" w:w="3561"/>
            <w:vAlign w:val="top"/>
          </w:tcPr>
          <w:p>
            <w:pPr>
              <w:spacing w:after="0"/>
            </w:pPr>
            <w:r>
              <w:rPr>
                <w:rFonts w:ascii="Times New Roman" w:hAnsi="Times New Roman"/>
                <w:sz w:val="14"/>
              </w:rPr>
              <w:t>Hoshea → Yehoshua</w:t>
            </w:r>
          </w:p>
        </w:tc>
        <w:tc>
          <w:tcPr>
            <w:tcW w:type="dxa" w:w="3561"/>
            <w:vAlign w:val="top"/>
          </w:tcPr>
          <w:p>
            <w:pPr>
              <w:spacing w:after="0"/>
            </w:pPr>
            <w:r>
              <w:rPr>
                <w:rFonts w:ascii="Times New Roman" w:hAnsi="Times New Roman"/>
                <w:sz w:val="14"/>
              </w:rPr>
              <w:t>Salvation/help → Yahweh saves/is salvation.</w:t>
            </w:r>
          </w:p>
        </w:tc>
      </w:tr>
      <w:tr>
        <w:tc>
          <w:tcPr>
            <w:tcW w:type="dxa" w:w="3561"/>
            <w:vAlign w:val="top"/>
          </w:tcPr>
          <w:p>
            <w:pPr>
              <w:spacing w:after="0"/>
            </w:pPr>
            <w:r>
              <w:rPr>
                <w:rFonts w:ascii="Times New Roman" w:hAnsi="Times New Roman"/>
                <w:sz w:val="14"/>
              </w:rPr>
              <w:t>Num. 13:17</w:t>
            </w:r>
          </w:p>
        </w:tc>
        <w:tc>
          <w:tcPr>
            <w:tcW w:type="dxa" w:w="3561"/>
            <w:vAlign w:val="top"/>
          </w:tcPr>
          <w:p>
            <w:pPr>
              <w:spacing w:after="0"/>
            </w:pPr>
            <w:r>
              <w:rPr>
                <w:rFonts w:ascii="Times New Roman" w:hAnsi="Times New Roman"/>
                <w:sz w:val="14"/>
              </w:rPr>
              <w:t>tuwr</w:t>
            </w:r>
          </w:p>
        </w:tc>
        <w:tc>
          <w:tcPr>
            <w:tcW w:type="dxa" w:w="3561"/>
            <w:vAlign w:val="top"/>
          </w:tcPr>
          <w:p>
            <w:pPr>
              <w:spacing w:after="0"/>
            </w:pPr>
            <w:r>
              <w:rPr>
                <w:rFonts w:ascii="Times New Roman" w:hAnsi="Times New Roman"/>
                <w:sz w:val="14"/>
              </w:rPr>
              <w:t>Search out/explore/reconnoitre.</w:t>
            </w:r>
          </w:p>
        </w:tc>
      </w:tr>
      <w:tr>
        <w:tc>
          <w:tcPr>
            <w:tcW w:type="dxa" w:w="3561"/>
            <w:vAlign w:val="top"/>
          </w:tcPr>
          <w:p>
            <w:pPr>
              <w:spacing w:after="0"/>
            </w:pPr>
            <w:r>
              <w:rPr>
                <w:rFonts w:ascii="Times New Roman" w:hAnsi="Times New Roman"/>
                <w:sz w:val="14"/>
              </w:rPr>
              <w:t>Num. 13:21</w:t>
            </w:r>
          </w:p>
        </w:tc>
        <w:tc>
          <w:tcPr>
            <w:tcW w:type="dxa" w:w="3561"/>
            <w:vAlign w:val="top"/>
          </w:tcPr>
          <w:p>
            <w:pPr>
              <w:spacing w:after="0"/>
            </w:pPr>
            <w:r>
              <w:rPr>
                <w:rFonts w:ascii="Times New Roman" w:hAnsi="Times New Roman"/>
                <w:sz w:val="14"/>
              </w:rPr>
              <w:t>Zin to Rehob toward Hamath</w:t>
            </w:r>
          </w:p>
        </w:tc>
        <w:tc>
          <w:tcPr>
            <w:tcW w:type="dxa" w:w="3561"/>
            <w:vAlign w:val="top"/>
          </w:tcPr>
          <w:p>
            <w:pPr>
              <w:spacing w:after="0"/>
            </w:pPr>
            <w:r>
              <w:rPr>
                <w:rFonts w:ascii="Times New Roman" w:hAnsi="Times New Roman"/>
                <w:sz w:val="14"/>
              </w:rPr>
              <w:t>Broad route; exact site identifications debated.</w:t>
            </w:r>
          </w:p>
        </w:tc>
      </w:tr>
      <w:tr>
        <w:tc>
          <w:tcPr>
            <w:tcW w:type="dxa" w:w="3561"/>
            <w:vAlign w:val="top"/>
          </w:tcPr>
          <w:p>
            <w:pPr>
              <w:spacing w:after="0"/>
            </w:pPr>
            <w:r>
              <w:rPr>
                <w:rFonts w:ascii="Times New Roman" w:hAnsi="Times New Roman"/>
                <w:sz w:val="14"/>
              </w:rPr>
              <w:t>Num. 13:22</w:t>
            </w:r>
          </w:p>
        </w:tc>
        <w:tc>
          <w:tcPr>
            <w:tcW w:type="dxa" w:w="3561"/>
            <w:vAlign w:val="top"/>
          </w:tcPr>
          <w:p>
            <w:pPr>
              <w:spacing w:after="0"/>
            </w:pPr>
            <w:r>
              <w:rPr>
                <w:rFonts w:ascii="Times New Roman" w:hAnsi="Times New Roman"/>
                <w:sz w:val="14"/>
              </w:rPr>
              <w:t>Hebron before Zoan</w:t>
            </w:r>
          </w:p>
        </w:tc>
        <w:tc>
          <w:tcPr>
            <w:tcW w:type="dxa" w:w="3561"/>
            <w:vAlign w:val="top"/>
          </w:tcPr>
          <w:p>
            <w:pPr>
              <w:spacing w:after="0"/>
            </w:pPr>
            <w:r>
              <w:rPr>
                <w:rFonts w:ascii="Times New Roman" w:hAnsi="Times New Roman"/>
                <w:sz w:val="14"/>
              </w:rPr>
              <w:t>Historical antiquity statement; Mansfield symbolism is secondary.</w:t>
            </w:r>
          </w:p>
        </w:tc>
      </w:tr>
      <w:tr>
        <w:tc>
          <w:tcPr>
            <w:tcW w:type="dxa" w:w="3561"/>
            <w:vAlign w:val="top"/>
          </w:tcPr>
          <w:p>
            <w:pPr>
              <w:spacing w:after="0"/>
            </w:pPr>
            <w:r>
              <w:rPr>
                <w:rFonts w:ascii="Times New Roman" w:hAnsi="Times New Roman"/>
                <w:sz w:val="14"/>
              </w:rPr>
              <w:t>Num. 13:23–24</w:t>
            </w:r>
          </w:p>
        </w:tc>
        <w:tc>
          <w:tcPr>
            <w:tcW w:type="dxa" w:w="3561"/>
            <w:vAlign w:val="top"/>
          </w:tcPr>
          <w:p>
            <w:pPr>
              <w:spacing w:after="0"/>
            </w:pPr>
            <w:r>
              <w:rPr>
                <w:rFonts w:ascii="Times New Roman" w:hAnsi="Times New Roman"/>
                <w:sz w:val="14"/>
              </w:rPr>
              <w:t>nachal Eshcol</w:t>
            </w:r>
          </w:p>
        </w:tc>
        <w:tc>
          <w:tcPr>
            <w:tcW w:type="dxa" w:w="3561"/>
            <w:vAlign w:val="top"/>
          </w:tcPr>
          <w:p>
            <w:pPr>
              <w:spacing w:after="0"/>
            </w:pPr>
            <w:r>
              <w:rPr>
                <w:rFonts w:ascii="Times New Roman" w:hAnsi="Times New Roman"/>
                <w:sz w:val="14"/>
              </w:rPr>
              <w:t>Valley/wadi; great cluster carried on pole between two.</w:t>
            </w:r>
          </w:p>
        </w:tc>
      </w:tr>
      <w:tr>
        <w:tc>
          <w:tcPr>
            <w:tcW w:type="dxa" w:w="3561"/>
            <w:vAlign w:val="top"/>
          </w:tcPr>
          <w:p>
            <w:pPr>
              <w:spacing w:after="0"/>
            </w:pPr>
            <w:r>
              <w:rPr>
                <w:rFonts w:ascii="Times New Roman" w:hAnsi="Times New Roman"/>
                <w:sz w:val="14"/>
              </w:rPr>
              <w:t>Num. 13:25</w:t>
            </w:r>
          </w:p>
        </w:tc>
        <w:tc>
          <w:tcPr>
            <w:tcW w:type="dxa" w:w="3561"/>
            <w:vAlign w:val="top"/>
          </w:tcPr>
          <w:p>
            <w:pPr>
              <w:spacing w:after="0"/>
            </w:pPr>
            <w:r>
              <w:rPr>
                <w:rFonts w:ascii="Times New Roman" w:hAnsi="Times New Roman"/>
                <w:sz w:val="14"/>
              </w:rPr>
              <w:t>40 days</w:t>
            </w:r>
          </w:p>
        </w:tc>
        <w:tc>
          <w:tcPr>
            <w:tcW w:type="dxa" w:w="3561"/>
            <w:vAlign w:val="top"/>
          </w:tcPr>
          <w:p>
            <w:pPr>
              <w:spacing w:after="0"/>
            </w:pPr>
            <w:r>
              <w:rPr>
                <w:rFonts w:ascii="Times New Roman" w:hAnsi="Times New Roman"/>
                <w:sz w:val="14"/>
              </w:rPr>
              <w:t>Explicitly matched to 40 years in Num. 14:34.</w:t>
            </w:r>
          </w:p>
        </w:tc>
      </w:tr>
      <w:tr>
        <w:tc>
          <w:tcPr>
            <w:tcW w:type="dxa" w:w="3561"/>
            <w:vAlign w:val="top"/>
          </w:tcPr>
          <w:p>
            <w:pPr>
              <w:spacing w:after="0"/>
            </w:pPr>
            <w:r>
              <w:rPr>
                <w:rFonts w:ascii="Times New Roman" w:hAnsi="Times New Roman"/>
                <w:sz w:val="14"/>
              </w:rPr>
              <w:t>Num. 13:27</w:t>
            </w:r>
          </w:p>
        </w:tc>
        <w:tc>
          <w:tcPr>
            <w:tcW w:type="dxa" w:w="3561"/>
            <w:vAlign w:val="top"/>
          </w:tcPr>
          <w:p>
            <w:pPr>
              <w:spacing w:after="0"/>
            </w:pPr>
            <w:r>
              <w:rPr>
                <w:rFonts w:ascii="Times New Roman" w:hAnsi="Times New Roman"/>
                <w:sz w:val="14"/>
              </w:rPr>
              <w:t>milk and honey confirmed</w:t>
            </w:r>
          </w:p>
        </w:tc>
        <w:tc>
          <w:tcPr>
            <w:tcW w:type="dxa" w:w="3561"/>
            <w:vAlign w:val="top"/>
          </w:tcPr>
          <w:p>
            <w:pPr>
              <w:spacing w:after="0"/>
            </w:pPr>
            <w:r>
              <w:rPr>
                <w:rFonts w:ascii="Times New Roman" w:hAnsi="Times New Roman"/>
                <w:sz w:val="14"/>
              </w:rPr>
              <w:t>Spies affirm Yahweh’s land description.</w:t>
            </w:r>
          </w:p>
        </w:tc>
      </w:tr>
      <w:tr>
        <w:tc>
          <w:tcPr>
            <w:tcW w:type="dxa" w:w="3561"/>
            <w:vAlign w:val="top"/>
          </w:tcPr>
          <w:p>
            <w:pPr>
              <w:spacing w:after="0"/>
            </w:pPr>
            <w:r>
              <w:rPr>
                <w:rFonts w:ascii="Times New Roman" w:hAnsi="Times New Roman"/>
                <w:sz w:val="14"/>
              </w:rPr>
              <w:t>Num. 13:30</w:t>
            </w:r>
          </w:p>
        </w:tc>
        <w:tc>
          <w:tcPr>
            <w:tcW w:type="dxa" w:w="3561"/>
            <w:vAlign w:val="top"/>
          </w:tcPr>
          <w:p>
            <w:pPr>
              <w:spacing w:after="0"/>
            </w:pPr>
            <w:r>
              <w:rPr>
                <w:rFonts w:ascii="Times New Roman" w:hAnsi="Times New Roman"/>
                <w:sz w:val="14"/>
              </w:rPr>
              <w:t>Caleb: we are well able</w:t>
            </w:r>
          </w:p>
        </w:tc>
        <w:tc>
          <w:tcPr>
            <w:tcW w:type="dxa" w:w="3561"/>
            <w:vAlign w:val="top"/>
          </w:tcPr>
          <w:p>
            <w:pPr>
              <w:spacing w:after="0"/>
            </w:pPr>
            <w:r>
              <w:rPr>
                <w:rFonts w:ascii="Times New Roman" w:hAnsi="Times New Roman"/>
                <w:sz w:val="14"/>
              </w:rPr>
              <w:t>Faithful conclusion.</w:t>
            </w:r>
          </w:p>
        </w:tc>
      </w:tr>
      <w:tr>
        <w:tc>
          <w:tcPr>
            <w:tcW w:type="dxa" w:w="3561"/>
            <w:vAlign w:val="top"/>
          </w:tcPr>
          <w:p>
            <w:pPr>
              <w:spacing w:after="0"/>
            </w:pPr>
            <w:r>
              <w:rPr>
                <w:rFonts w:ascii="Times New Roman" w:hAnsi="Times New Roman"/>
                <w:sz w:val="14"/>
              </w:rPr>
              <w:t>Num. 13:31</w:t>
            </w:r>
          </w:p>
        </w:tc>
        <w:tc>
          <w:tcPr>
            <w:tcW w:type="dxa" w:w="3561"/>
            <w:vAlign w:val="top"/>
          </w:tcPr>
          <w:p>
            <w:pPr>
              <w:spacing w:after="0"/>
            </w:pPr>
            <w:r>
              <w:rPr>
                <w:rFonts w:ascii="Times New Roman" w:hAnsi="Times New Roman"/>
                <w:sz w:val="14"/>
              </w:rPr>
              <w:t>we are not able</w:t>
            </w:r>
          </w:p>
        </w:tc>
        <w:tc>
          <w:tcPr>
            <w:tcW w:type="dxa" w:w="3561"/>
            <w:vAlign w:val="top"/>
          </w:tcPr>
          <w:p>
            <w:pPr>
              <w:spacing w:after="0"/>
            </w:pPr>
            <w:r>
              <w:rPr>
                <w:rFonts w:ascii="Times New Roman" w:hAnsi="Times New Roman"/>
                <w:sz w:val="14"/>
              </w:rPr>
              <w:t>Majority’s faithless conclusion.</w:t>
            </w:r>
          </w:p>
        </w:tc>
      </w:tr>
      <w:tr>
        <w:tc>
          <w:tcPr>
            <w:tcW w:type="dxa" w:w="3561"/>
            <w:vAlign w:val="top"/>
          </w:tcPr>
          <w:p>
            <w:pPr>
              <w:spacing w:after="0"/>
            </w:pPr>
            <w:r>
              <w:rPr>
                <w:rFonts w:ascii="Times New Roman" w:hAnsi="Times New Roman"/>
                <w:sz w:val="14"/>
              </w:rPr>
              <w:t>Num. 13:32</w:t>
            </w:r>
          </w:p>
        </w:tc>
        <w:tc>
          <w:tcPr>
            <w:tcW w:type="dxa" w:w="3561"/>
            <w:vAlign w:val="top"/>
          </w:tcPr>
          <w:p>
            <w:pPr>
              <w:spacing w:after="0"/>
            </w:pPr>
            <w:r>
              <w:rPr>
                <w:rFonts w:ascii="Times New Roman" w:hAnsi="Times New Roman"/>
                <w:sz w:val="14"/>
              </w:rPr>
              <w:t>dibbah</w:t>
            </w:r>
          </w:p>
        </w:tc>
        <w:tc>
          <w:tcPr>
            <w:tcW w:type="dxa" w:w="3561"/>
            <w:vAlign w:val="top"/>
          </w:tcPr>
          <w:p>
            <w:pPr>
              <w:spacing w:after="0"/>
            </w:pPr>
            <w:r>
              <w:rPr>
                <w:rFonts w:ascii="Times New Roman" w:hAnsi="Times New Roman"/>
                <w:sz w:val="14"/>
              </w:rPr>
              <w:t>Evil report/slander.</w:t>
            </w:r>
          </w:p>
        </w:tc>
      </w:tr>
      <w:tr>
        <w:tc>
          <w:tcPr>
            <w:tcW w:type="dxa" w:w="3561"/>
            <w:vAlign w:val="top"/>
          </w:tcPr>
          <w:p>
            <w:pPr>
              <w:spacing w:after="0"/>
            </w:pPr>
            <w:r>
              <w:rPr>
                <w:rFonts w:ascii="Times New Roman" w:hAnsi="Times New Roman"/>
                <w:sz w:val="14"/>
              </w:rPr>
              <w:t>Num. 13:32</w:t>
            </w:r>
          </w:p>
        </w:tc>
        <w:tc>
          <w:tcPr>
            <w:tcW w:type="dxa" w:w="3561"/>
            <w:vAlign w:val="top"/>
          </w:tcPr>
          <w:p>
            <w:pPr>
              <w:spacing w:after="0"/>
            </w:pPr>
            <w:r>
              <w:rPr>
                <w:rFonts w:ascii="Times New Roman" w:hAnsi="Times New Roman"/>
                <w:sz w:val="14"/>
              </w:rPr>
              <w:t>land eats inhabitants</w:t>
            </w:r>
          </w:p>
        </w:tc>
        <w:tc>
          <w:tcPr>
            <w:tcW w:type="dxa" w:w="3561"/>
            <w:vAlign w:val="top"/>
          </w:tcPr>
          <w:p>
            <w:pPr>
              <w:spacing w:after="0"/>
            </w:pPr>
            <w:r>
              <w:rPr>
                <w:rFonts w:ascii="Times New Roman" w:hAnsi="Times New Roman"/>
                <w:sz w:val="14"/>
              </w:rPr>
              <w:t>Claim within hostile report, not neutral narrator’s assessment.</w:t>
            </w:r>
          </w:p>
        </w:tc>
      </w:tr>
      <w:tr>
        <w:tc>
          <w:tcPr>
            <w:tcW w:type="dxa" w:w="3561"/>
            <w:vAlign w:val="top"/>
          </w:tcPr>
          <w:p>
            <w:pPr>
              <w:spacing w:after="0"/>
            </w:pPr>
            <w:r>
              <w:rPr>
                <w:rFonts w:ascii="Times New Roman" w:hAnsi="Times New Roman"/>
                <w:sz w:val="14"/>
              </w:rPr>
              <w:t>Num. 13:33</w:t>
            </w:r>
          </w:p>
        </w:tc>
        <w:tc>
          <w:tcPr>
            <w:tcW w:type="dxa" w:w="3561"/>
            <w:vAlign w:val="top"/>
          </w:tcPr>
          <w:p>
            <w:pPr>
              <w:spacing w:after="0"/>
            </w:pPr>
            <w:r>
              <w:rPr>
                <w:rFonts w:ascii="Times New Roman" w:hAnsi="Times New Roman"/>
                <w:sz w:val="14"/>
              </w:rPr>
              <w:t>Nephilim / sons of Anak</w:t>
            </w:r>
          </w:p>
        </w:tc>
        <w:tc>
          <w:tcPr>
            <w:tcW w:type="dxa" w:w="3561"/>
            <w:vAlign w:val="top"/>
          </w:tcPr>
          <w:p>
            <w:pPr>
              <w:spacing w:after="0"/>
            </w:pPr>
            <w:r>
              <w:rPr>
                <w:rFonts w:ascii="Times New Roman" w:hAnsi="Times New Roman"/>
                <w:sz w:val="14"/>
              </w:rPr>
              <w:t>Do not infer supernatural beings beyond text.</w:t>
            </w:r>
          </w:p>
        </w:tc>
      </w:tr>
      <w:tr>
        <w:tc>
          <w:tcPr>
            <w:tcW w:type="dxa" w:w="3561"/>
            <w:vAlign w:val="top"/>
          </w:tcPr>
          <w:p>
            <w:pPr>
              <w:spacing w:after="0"/>
            </w:pPr>
            <w:r>
              <w:rPr>
                <w:rFonts w:ascii="Times New Roman" w:hAnsi="Times New Roman"/>
                <w:sz w:val="14"/>
              </w:rPr>
              <w:t>Num. 13:33</w:t>
            </w:r>
          </w:p>
        </w:tc>
        <w:tc>
          <w:tcPr>
            <w:tcW w:type="dxa" w:w="3561"/>
            <w:vAlign w:val="top"/>
          </w:tcPr>
          <w:p>
            <w:pPr>
              <w:spacing w:after="0"/>
            </w:pPr>
            <w:r>
              <w:rPr>
                <w:rFonts w:ascii="Times New Roman" w:hAnsi="Times New Roman"/>
                <w:sz w:val="14"/>
              </w:rPr>
              <w:t>grasshoppers</w:t>
            </w:r>
          </w:p>
        </w:tc>
        <w:tc>
          <w:tcPr>
            <w:tcW w:type="dxa" w:w="3561"/>
            <w:vAlign w:val="top"/>
          </w:tcPr>
          <w:p>
            <w:pPr>
              <w:spacing w:after="0"/>
            </w:pPr>
            <w:r>
              <w:rPr>
                <w:rFonts w:ascii="Times New Roman" w:hAnsi="Times New Roman"/>
                <w:sz w:val="14"/>
              </w:rPr>
              <w:t>Self-perception plus assumed enemy perception.</w:t>
            </w:r>
          </w:p>
        </w:tc>
      </w:tr>
    </w:tbl>
    <w:p>
      <w:pPr>
        <w:pStyle w:val="Heading1"/>
      </w:pPr>
      <w:r>
        <w:t>RESIDUAL UNCERTAINTIES</w:t>
      </w:r>
    </w:p>
    <w:p>
      <w:pPr/>
      <w:r>
        <w:rPr>
          <w:i w:val="0"/>
        </w:rPr>
        <w:t>The exact northern limit and every point on the spy route cannot be fixed with certainty. The historical relationship among Nephilim and Anakim is not explained sufficiently to support elaborate reconstructions. Mansfield’s name-sentence, numerological and Hebron/Zoan typologies are retained only as optional exposition.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