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14</w:t>
      </w:r>
    </w:p>
    <w:p>
      <w:pPr>
        <w:pStyle w:val="Subtitle"/>
      </w:pPr>
      <w:r>
        <w:t>UNBELIEF REFUSES THE LAND • “LET US RETURN INTO EGYPT” • JOSHUA AND CALEB • MOSES INTERCEDES FROM YAHWEH’S NAME • PARDON WITH CONSEQUENCE • FORTY YEARS • PRESUMPTION AT HORMAH</w:t>
      </w:r>
    </w:p>
    <w:p>
      <w:pPr/>
      <w:r>
        <w:rPr>
          <w:i/>
        </w:rPr>
        <w:t>H. P. Mansfield Bible notes — checked and arranged in verse-by-verse Expositor style</w:t>
      </w:r>
    </w:p>
    <w:p>
      <w:pPr/>
      <w:r>
        <w:rPr>
          <w:i w:val="0"/>
        </w:rPr>
        <w:t>Source: HPB 03-Lev12-Num36.PDF, pp. 59–60; cross-checked with Mansfield’s Numbers Expositor Chapter 14.</w:t>
      </w:r>
    </w:p>
    <w:p>
      <w:pPr>
        <w:pStyle w:val="Heading1"/>
      </w:pPr>
      <w:r>
        <w:t>CHAPTER OVERVIEW</w:t>
      </w:r>
    </w:p>
    <w:p>
      <w:pPr/>
      <w:r>
        <w:rPr>
          <w:i w:val="0"/>
        </w:rPr>
        <w:t>Numbers 14 is the decisive rebellion of the first wilderness generation. At the border of inheritance the congregation chooses fear, proposes return to Egypt and rejects Yahweh’s presence despite the evidence already given.</w:t>
      </w:r>
    </w:p>
    <w:p>
      <w:pPr/>
      <w:r>
        <w:rPr>
          <w:i w:val="0"/>
        </w:rPr>
        <w:t>Moses intercedes not by claiming Israel deserves pardon but by appealing to Yahweh’s revealed character and His reputation among the nations. The nation is spared immediate destruction, yet the unbelieving adult generation loses the inheritance.</w:t>
      </w:r>
    </w:p>
    <w:p>
      <w:pPr>
        <w:pStyle w:val="Heading1"/>
      </w:pPr>
      <w:r>
        <w:t>REVOLT AND RETURN TO EGYPT — NUMBERS 14:1–5</w:t>
      </w:r>
    </w:p>
    <w:p>
      <w:pPr>
        <w:pStyle w:val="Heading2"/>
      </w:pPr>
      <w:r>
        <w:t>Numbers 14:1–3 — a night of weeping and accusation</w:t>
      </w:r>
    </w:p>
    <w:p>
      <w:pPr/>
      <w:r>
        <w:rPr>
          <w:i w:val="0"/>
        </w:rPr>
        <w:t>The congregation lifts its voice, weeps through the night and murmurs against Moses and Aaron, wishing it had died in Egypt or the wilderness.</w:t>
      </w:r>
    </w:p>
    <w:p>
      <w:pPr/>
      <w:r>
        <w:rPr>
          <w:i w:val="0"/>
        </w:rPr>
        <w:t>Their stated concern that wives and little ones will become prey is answered ironically in verses 31–32: those little ones will inherit, while the fearful adults die outside the land.</w:t>
      </w:r>
    </w:p>
    <w:p>
      <w:pPr>
        <w:pStyle w:val="Heading2"/>
      </w:pPr>
      <w:r>
        <w:t>Numbers 14:4 — “Let us make a captain”</w:t>
      </w:r>
    </w:p>
    <w:p>
      <w:pPr/>
      <w:r>
        <w:rPr>
          <w:i w:val="0"/>
        </w:rPr>
        <w:t>The people propose appointing a head and returning to Egypt. Nehemiah 9:17 later says that in their rebellion they appointed a captain to return to bondage.</w:t>
      </w:r>
    </w:p>
    <w:p>
      <w:pPr/>
      <w:r>
        <w:rPr>
          <w:i w:val="0"/>
        </w:rPr>
        <w:t>The text does not identify that captain by name, so proposals that the later presumptuous attack was led by this figure remain speculative.</w:t>
      </w:r>
    </w:p>
    <w:p>
      <w:pPr>
        <w:pStyle w:val="Heading2"/>
      </w:pPr>
      <w:r>
        <w:t>Numbers 14:5 — Moses and Aaron fall on their faces</w:t>
      </w:r>
    </w:p>
    <w:p>
      <w:pPr/>
      <w:r>
        <w:rPr>
          <w:i w:val="0"/>
        </w:rPr>
        <w:t>They do not answer the rebellion with force; they fall before the assembly as the crisis reaches Yahweh.</w:t>
      </w:r>
    </w:p>
    <w:p>
      <w:pPr>
        <w:pStyle w:val="Heading1"/>
      </w:pPr>
      <w:r>
        <w:t>JOSHUA AND CALEB — NUMBERS 14:6–10</w:t>
      </w:r>
    </w:p>
    <w:p>
      <w:pPr>
        <w:pStyle w:val="Heading2"/>
      </w:pPr>
      <w:r>
        <w:t>Numbers 14:6–8 — “an exceeding good land”</w:t>
      </w:r>
    </w:p>
    <w:p>
      <w:pPr/>
      <w:r>
        <w:rPr>
          <w:i w:val="0"/>
        </w:rPr>
        <w:t>Joshua and Caleb tear their clothes and insist that the land is exceedingly good. If Yahweh delights in Israel, He will bring them into it.</w:t>
      </w:r>
    </w:p>
    <w:p>
      <w:pPr/>
      <w:r>
        <w:rPr>
          <w:i w:val="0"/>
        </w:rPr>
        <w:t>Their confidence is covenantal rather than psychological optimism.</w:t>
      </w:r>
    </w:p>
    <w:p>
      <w:pPr>
        <w:pStyle w:val="Heading2"/>
      </w:pPr>
      <w:r>
        <w:t>Numbers 14:9 — “their defence is departed … Yahweh is with us”</w:t>
      </w:r>
    </w:p>
    <w:p>
      <w:pPr/>
      <w:r>
        <w:rPr>
          <w:i w:val="0"/>
        </w:rPr>
        <w:t>KJV “their defence” literally uses “shadow”; the image is that the inhabitants’ protective cover is gone, while Yahweh is with Israel.</w:t>
      </w:r>
    </w:p>
    <w:p>
      <w:pPr/>
      <w:r>
        <w:rPr>
          <w:i w:val="0"/>
        </w:rPr>
        <w:t>The decisive contrast is not Israelite size versus Canaanite size but Divine presence versus human defence.</w:t>
      </w:r>
    </w:p>
    <w:p>
      <w:pPr>
        <w:pStyle w:val="Heading2"/>
      </w:pPr>
      <w:r>
        <w:t>Numbers 14:10 — the crowd prepares to stone them</w:t>
      </w:r>
    </w:p>
    <w:p>
      <w:pPr/>
      <w:r>
        <w:rPr>
          <w:i w:val="0"/>
        </w:rPr>
        <w:t>The congregation answers faithful exhortation with a proposal to stone Joshua and Caleb, and Yahweh’s glory appears at the Tent.</w:t>
      </w:r>
    </w:p>
    <w:p>
      <w:pPr>
        <w:pStyle w:val="Heading1"/>
      </w:pPr>
      <w:r>
        <w:t>MOSES INTERCEDES — NUMBERS 14:11–19</w:t>
      </w:r>
    </w:p>
    <w:p>
      <w:pPr>
        <w:pStyle w:val="Heading2"/>
      </w:pPr>
      <w:r>
        <w:t>Numbers 14:11–12 — unbelief despite signs</w:t>
      </w:r>
    </w:p>
    <w:p>
      <w:pPr/>
      <w:r>
        <w:rPr>
          <w:i w:val="0"/>
        </w:rPr>
        <w:t>Yahweh asks how long the people will despise Him and refuse to believe despite all the signs, and declares judgment.</w:t>
      </w:r>
    </w:p>
    <w:p>
      <w:pPr/>
      <w:r>
        <w:rPr>
          <w:i w:val="0"/>
        </w:rPr>
        <w:t>Mansfield treats the offer to make a greater nation from Moses as a test of Moses’ motives. That is a reasonable theological reading, but the text itself does not label the proposal a “test.”</w:t>
      </w:r>
    </w:p>
    <w:p>
      <w:pPr>
        <w:pStyle w:val="Heading2"/>
      </w:pPr>
      <w:r>
        <w:t>Numbers 14:13–16 — Yahweh’s reputation among the nations</w:t>
      </w:r>
    </w:p>
    <w:p>
      <w:pPr/>
      <w:r>
        <w:rPr>
          <w:i w:val="0"/>
        </w:rPr>
        <w:t>Moses argues that Egypt and the surrounding nations know of Yahweh’s presence and guidance. If Israel is destroyed, they will misinterpret the outcome as inability to bring the people into the land.</w:t>
      </w:r>
    </w:p>
    <w:p>
      <w:pPr/>
      <w:r>
        <w:rPr>
          <w:i w:val="0"/>
        </w:rPr>
        <w:t>His concern is the honour of Yahweh’s Name, not Israel’s reputation.</w:t>
      </w:r>
    </w:p>
    <w:p>
      <w:pPr>
        <w:pStyle w:val="Heading2"/>
      </w:pPr>
      <w:r>
        <w:t>Numbers 14:17–19 — Exodus 34 invoked</w:t>
      </w:r>
    </w:p>
    <w:p>
      <w:pPr/>
      <w:r>
        <w:rPr>
          <w:i w:val="0"/>
        </w:rPr>
        <w:t>Moses appeals to Yahweh as longsuffering, abundant in covenant mercy, forgiving iniquity and transgression, yet not treating guilt as morally irrelevant. His wording draws directly on Exodus 34:6–7.</w:t>
      </w:r>
    </w:p>
    <w:p>
      <w:pPr/>
      <w:r>
        <w:rPr>
          <w:i w:val="0"/>
        </w:rPr>
        <w:t>Intercession rests on Yahweh’s revealed character.</w:t>
      </w:r>
    </w:p>
    <w:p>
      <w:pPr>
        <w:pStyle w:val="Heading1"/>
      </w:pPr>
      <w:r>
        <w:t>PARDON AND SENTENCE — NUMBERS 14:20–38</w:t>
      </w:r>
    </w:p>
    <w:p>
      <w:pPr>
        <w:pStyle w:val="Heading2"/>
      </w:pPr>
      <w:r>
        <w:t>Numbers 14:20–23 — “I have pardoned” but the generation is excluded</w:t>
      </w:r>
    </w:p>
    <w:p>
      <w:pPr/>
      <w:r>
        <w:rPr>
          <w:i w:val="0"/>
        </w:rPr>
        <w:t>Yahweh says, “I have pardoned according to thy word,” meaning the nation will not be annihilated as threatened. Nevertheless the repeatedly unbelieving generation will not see the promised land.</w:t>
      </w:r>
    </w:p>
    <w:p>
      <w:pPr/>
      <w:r>
        <w:rPr>
          <w:i w:val="0"/>
        </w:rPr>
        <w:t>Forgiveness therefore does not always remove temporal/covenant consequences.</w:t>
      </w:r>
    </w:p>
    <w:p>
      <w:pPr>
        <w:pStyle w:val="Heading2"/>
      </w:pPr>
      <w:r>
        <w:t>Numbers 14:21 — Yahweh’s purpose still stands</w:t>
      </w:r>
    </w:p>
    <w:p>
      <w:pPr/>
      <w:r>
        <w:rPr>
          <w:i w:val="0"/>
        </w:rPr>
        <w:t>“All the earth shall be filled with the glory of Yahweh.” Israel’s failure cannot defeat Yahweh’s ultimate purpose.</w:t>
      </w:r>
    </w:p>
    <w:p>
      <w:pPr>
        <w:pStyle w:val="Heading2"/>
      </w:pPr>
      <w:r>
        <w:t>Numbers 14:22 — “these ten times”</w:t>
      </w:r>
    </w:p>
    <w:p>
      <w:pPr/>
      <w:r>
        <w:rPr>
          <w:i w:val="0"/>
        </w:rPr>
        <w:t>The phrase may be read literally—traditional lists can produce ten provocations—or idiomatically as repeated/full provocation. The text itself does not supply an enumerated list here.</w:t>
      </w:r>
    </w:p>
    <w:p>
      <w:pPr/>
      <w:r>
        <w:rPr>
          <w:i w:val="0"/>
        </w:rPr>
        <w:t>Mansfield’s exact tally is therefore illustrative rather than certain.</w:t>
      </w:r>
    </w:p>
    <w:p>
      <w:pPr>
        <w:pStyle w:val="Heading2"/>
      </w:pPr>
      <w:r>
        <w:t>Numbers 14:24–25 — Caleb’s “another spirit”</w:t>
      </w:r>
    </w:p>
    <w:p>
      <w:pPr/>
      <w:r>
        <w:rPr>
          <w:i w:val="0"/>
        </w:rPr>
        <w:t>Caleb is singled out because he has another spirit/disposition and follows Yahweh fully. He is promised entry into the land.</w:t>
      </w:r>
    </w:p>
    <w:p>
      <w:pPr>
        <w:pStyle w:val="Heading2"/>
      </w:pPr>
      <w:r>
        <w:t>Numbers 14:26–32 — Israel’s own words answered</w:t>
      </w:r>
    </w:p>
    <w:p>
      <w:pPr/>
      <w:r>
        <w:rPr>
          <w:i w:val="0"/>
        </w:rPr>
        <w:t>Those numbered from twenty years old and upward who murmured will fall in the wilderness, except Caleb and Joshua. Their children, whom they called prey, will be brought into the land.</w:t>
      </w:r>
    </w:p>
    <w:p>
      <w:pPr>
        <w:pStyle w:val="Heading2"/>
      </w:pPr>
      <w:r>
        <w:t>Numbers 14:33–35 — forty days become forty years</w:t>
      </w:r>
    </w:p>
    <w:p>
      <w:pPr/>
      <w:r>
        <w:rPr>
          <w:i w:val="0"/>
        </w:rPr>
        <w:t>The children will bear the consequences of the fathers’ unfaithfulness during forty years, one year for each day the land was searched.</w:t>
      </w:r>
    </w:p>
    <w:p>
      <w:pPr/>
      <w:r>
        <w:rPr>
          <w:i w:val="0"/>
        </w:rPr>
        <w:t>KJV “my breach of promise” in verse 34 translates tenu’ah, a difficult term better understood as Yahweh’s opposition/alienation or the consequence of their rejection, not that God falsely broke a promise.</w:t>
      </w:r>
    </w:p>
    <w:p>
      <w:pPr>
        <w:pStyle w:val="Heading2"/>
      </w:pPr>
      <w:r>
        <w:t>Numbers 14:36–38 — ten spies die; two live</w:t>
      </w:r>
    </w:p>
    <w:p>
      <w:pPr/>
      <w:r>
        <w:rPr>
          <w:i w:val="0"/>
        </w:rPr>
        <w:t>The men who spread the evil report die by plague before Yahweh; Joshua and Caleb remain alive.</w:t>
      </w:r>
    </w:p>
    <w:p>
      <w:pPr>
        <w:pStyle w:val="Heading1"/>
      </w:pPr>
      <w:r>
        <w:t>PRESUMPTION AFTER UNBELIEF — NUMBERS 14:39–45</w:t>
      </w:r>
    </w:p>
    <w:p>
      <w:pPr>
        <w:pStyle w:val="Heading2"/>
      </w:pPr>
      <w:r>
        <w:t>Numbers 14:39–40 — sorrow and a belated confession</w:t>
      </w:r>
    </w:p>
    <w:p>
      <w:pPr/>
      <w:r>
        <w:rPr>
          <w:i w:val="0"/>
        </w:rPr>
        <w:t>The people mourn and announce that they will now go up because they have sinned.</w:t>
      </w:r>
    </w:p>
    <w:p>
      <w:pPr/>
      <w:r>
        <w:rPr>
          <w:i w:val="0"/>
        </w:rPr>
        <w:t>Action that resembles obedience can still be rebellion when it contradicts Yahweh’s present command.</w:t>
      </w:r>
    </w:p>
    <w:p>
      <w:pPr>
        <w:pStyle w:val="Heading2"/>
      </w:pPr>
      <w:r>
        <w:t>Numbers 14:41–44 — Yahweh is not among them</w:t>
      </w:r>
    </w:p>
    <w:p>
      <w:pPr/>
      <w:r>
        <w:rPr>
          <w:i w:val="0"/>
        </w:rPr>
        <w:t>Moses warns them not to go because Yahweh is not among them. Nevertheless they presume to ascend, while Moses and the ark remain in the camp.</w:t>
      </w:r>
    </w:p>
    <w:p>
      <w:pPr/>
      <w:r>
        <w:rPr>
          <w:i w:val="0"/>
        </w:rPr>
        <w:t>Faith is not mere boldness; it acts when Yahweh says “go” and stops when He says “do not go.”</w:t>
      </w:r>
    </w:p>
    <w:p>
      <w:pPr>
        <w:pStyle w:val="Heading2"/>
      </w:pPr>
      <w:r>
        <w:t>Numbers 14:45 — defeated to Hormah</w:t>
      </w:r>
    </w:p>
    <w:p>
      <w:pPr/>
      <w:r>
        <w:rPr>
          <w:i w:val="0"/>
        </w:rPr>
        <w:t>Amalekites and Canaanites strike them and drive them as far as Hormah. The name is related to cherem, destruction/devotion under ban.</w:t>
      </w:r>
    </w:p>
    <w:p>
      <w:pPr/>
      <w:r>
        <w:rPr>
          <w:i w:val="0"/>
        </w:rPr>
        <w:t>The exact location and whether the name is used proleptically from the later event in Numbers 21 remain debated.</w:t>
      </w:r>
    </w:p>
    <w:p>
      <w:pPr>
        <w:pStyle w:val="Heading1"/>
      </w:pPr>
      <w:r>
        <w:t>PRINCIPAL THEMES</w:t>
      </w:r>
    </w:p>
    <w:p>
      <w:pPr>
        <w:ind w:left="259" w:hanging="202"/>
      </w:pPr>
      <w:r>
        <w:rPr>
          <w:b/>
        </w:rPr>
        <w:t xml:space="preserve">• </w:t>
      </w:r>
      <w:r>
        <w:t>Israel’s desire to return to Egypt reverses the meaning of redemption.</w:t>
      </w:r>
    </w:p>
    <w:p>
      <w:pPr>
        <w:ind w:left="259" w:hanging="202"/>
      </w:pPr>
      <w:r>
        <w:rPr>
          <w:b/>
        </w:rPr>
        <w:t xml:space="preserve">• </w:t>
      </w:r>
      <w:r>
        <w:t>Joshua and Caleb base courage on Yahweh’s presence, not human military superiority.</w:t>
      </w:r>
    </w:p>
    <w:p>
      <w:pPr>
        <w:ind w:left="259" w:hanging="202"/>
      </w:pPr>
      <w:r>
        <w:rPr>
          <w:b/>
        </w:rPr>
        <w:t xml:space="preserve">• </w:t>
      </w:r>
      <w:r>
        <w:t>Moses appeals to Yahweh’s Name and reputation, not Israel’s merit.</w:t>
      </w:r>
    </w:p>
    <w:p>
      <w:pPr>
        <w:ind w:left="259" w:hanging="202"/>
      </w:pPr>
      <w:r>
        <w:rPr>
          <w:b/>
        </w:rPr>
        <w:t xml:space="preserve">• </w:t>
      </w:r>
      <w:r>
        <w:t>Exodus 34:6–7 is the theological foundation of the intercession.</w:t>
      </w:r>
    </w:p>
    <w:p>
      <w:pPr>
        <w:ind w:left="259" w:hanging="202"/>
      </w:pPr>
      <w:r>
        <w:rPr>
          <w:b/>
        </w:rPr>
        <w:t xml:space="preserve">• </w:t>
      </w:r>
      <w:r>
        <w:t>“I have pardoned” spares the nation from annihilation without cancelling the generation’s exclusion.</w:t>
      </w:r>
    </w:p>
    <w:p>
      <w:pPr>
        <w:ind w:left="259" w:hanging="202"/>
      </w:pPr>
      <w:r>
        <w:rPr>
          <w:b/>
        </w:rPr>
        <w:t xml:space="preserve">• </w:t>
      </w:r>
      <w:r>
        <w:t>The forty-day reconnaissance becomes the explicit forty-year judgment measure.</w:t>
      </w:r>
    </w:p>
    <w:p>
      <w:pPr>
        <w:ind w:left="259" w:hanging="202"/>
      </w:pPr>
      <w:r>
        <w:rPr>
          <w:b/>
        </w:rPr>
        <w:t xml:space="preserve">• </w:t>
      </w:r>
      <w:r>
        <w:t>KJV “my breach of promise” is misleading if taken to mean Divine falsehood.</w:t>
      </w:r>
    </w:p>
    <w:p>
      <w:pPr>
        <w:ind w:left="259" w:hanging="202"/>
      </w:pPr>
      <w:r>
        <w:rPr>
          <w:b/>
        </w:rPr>
        <w:t xml:space="preserve">• </w:t>
      </w:r>
      <w:r>
        <w:t>Unbelief refuses when Yahweh says go; presumption advances when Yahweh says do not go.</w:t>
      </w:r>
    </w:p>
    <w:p>
      <w:pPr>
        <w:ind w:left="259" w:hanging="202"/>
      </w:pPr>
      <w:r>
        <w:rPr>
          <w:b/>
        </w:rPr>
        <w:t xml:space="preserve">• </w:t>
      </w:r>
      <w:r>
        <w:t>Faith is submission to the current word of Yahweh, not simply courage.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14:4</w:t>
            </w:r>
          </w:p>
        </w:tc>
        <w:tc>
          <w:tcPr>
            <w:tcW w:type="dxa" w:w="3561"/>
            <w:vAlign w:val="top"/>
          </w:tcPr>
          <w:p>
            <w:pPr>
              <w:spacing w:after="0"/>
            </w:pPr>
            <w:r>
              <w:rPr>
                <w:rFonts w:ascii="Times New Roman" w:hAnsi="Times New Roman"/>
                <w:sz w:val="14"/>
              </w:rPr>
              <w:t>captain proposed</w:t>
            </w:r>
          </w:p>
        </w:tc>
        <w:tc>
          <w:tcPr>
            <w:tcW w:type="dxa" w:w="3561"/>
            <w:vAlign w:val="top"/>
          </w:tcPr>
          <w:p>
            <w:pPr>
              <w:spacing w:after="0"/>
            </w:pPr>
            <w:r>
              <w:rPr>
                <w:rFonts w:ascii="Times New Roman" w:hAnsi="Times New Roman"/>
                <w:sz w:val="14"/>
              </w:rPr>
              <w:t>Neh. 9:17 later says a captain was appointed; identity unstated.</w:t>
            </w:r>
          </w:p>
        </w:tc>
      </w:tr>
      <w:tr>
        <w:tc>
          <w:tcPr>
            <w:tcW w:type="dxa" w:w="3561"/>
            <w:vAlign w:val="top"/>
          </w:tcPr>
          <w:p>
            <w:pPr>
              <w:spacing w:after="0"/>
            </w:pPr>
            <w:r>
              <w:rPr>
                <w:rFonts w:ascii="Times New Roman" w:hAnsi="Times New Roman"/>
                <w:sz w:val="14"/>
              </w:rPr>
              <w:t>Num. 14:9</w:t>
            </w:r>
          </w:p>
        </w:tc>
        <w:tc>
          <w:tcPr>
            <w:tcW w:type="dxa" w:w="3561"/>
            <w:vAlign w:val="top"/>
          </w:tcPr>
          <w:p>
            <w:pPr>
              <w:spacing w:after="0"/>
            </w:pPr>
            <w:r>
              <w:rPr>
                <w:rFonts w:ascii="Times New Roman" w:hAnsi="Times New Roman"/>
                <w:sz w:val="14"/>
              </w:rPr>
              <w:t>“their defence” = shadow</w:t>
            </w:r>
          </w:p>
        </w:tc>
        <w:tc>
          <w:tcPr>
            <w:tcW w:type="dxa" w:w="3561"/>
            <w:vAlign w:val="top"/>
          </w:tcPr>
          <w:p>
            <w:pPr>
              <w:spacing w:after="0"/>
            </w:pPr>
            <w:r>
              <w:rPr>
                <w:rFonts w:ascii="Times New Roman" w:hAnsi="Times New Roman"/>
                <w:sz w:val="14"/>
              </w:rPr>
              <w:t>Protective cover departed; Yahweh with Israel.</w:t>
            </w:r>
          </w:p>
        </w:tc>
      </w:tr>
      <w:tr>
        <w:tc>
          <w:tcPr>
            <w:tcW w:type="dxa" w:w="3561"/>
            <w:vAlign w:val="top"/>
          </w:tcPr>
          <w:p>
            <w:pPr>
              <w:spacing w:after="0"/>
            </w:pPr>
            <w:r>
              <w:rPr>
                <w:rFonts w:ascii="Times New Roman" w:hAnsi="Times New Roman"/>
                <w:sz w:val="14"/>
              </w:rPr>
              <w:t>Num. 14:11</w:t>
            </w:r>
          </w:p>
        </w:tc>
        <w:tc>
          <w:tcPr>
            <w:tcW w:type="dxa" w:w="3561"/>
            <w:vAlign w:val="top"/>
          </w:tcPr>
          <w:p>
            <w:pPr>
              <w:spacing w:after="0"/>
            </w:pPr>
            <w:r>
              <w:rPr>
                <w:rFonts w:ascii="Times New Roman" w:hAnsi="Times New Roman"/>
                <w:sz w:val="14"/>
              </w:rPr>
              <w:t>despised / unbelief</w:t>
            </w:r>
          </w:p>
        </w:tc>
        <w:tc>
          <w:tcPr>
            <w:tcW w:type="dxa" w:w="3561"/>
            <w:vAlign w:val="top"/>
          </w:tcPr>
          <w:p>
            <w:pPr>
              <w:spacing w:after="0"/>
            </w:pPr>
            <w:r>
              <w:rPr>
                <w:rFonts w:ascii="Times New Roman" w:hAnsi="Times New Roman"/>
                <w:sz w:val="14"/>
              </w:rPr>
              <w:t>Core diagnosis.</w:t>
            </w:r>
          </w:p>
        </w:tc>
      </w:tr>
      <w:tr>
        <w:tc>
          <w:tcPr>
            <w:tcW w:type="dxa" w:w="3561"/>
            <w:vAlign w:val="top"/>
          </w:tcPr>
          <w:p>
            <w:pPr>
              <w:spacing w:after="0"/>
            </w:pPr>
            <w:r>
              <w:rPr>
                <w:rFonts w:ascii="Times New Roman" w:hAnsi="Times New Roman"/>
                <w:sz w:val="14"/>
              </w:rPr>
              <w:t>Num. 14:12</w:t>
            </w:r>
          </w:p>
        </w:tc>
        <w:tc>
          <w:tcPr>
            <w:tcW w:type="dxa" w:w="3561"/>
            <w:vAlign w:val="top"/>
          </w:tcPr>
          <w:p>
            <w:pPr>
              <w:spacing w:after="0"/>
            </w:pPr>
            <w:r>
              <w:rPr>
                <w:rFonts w:ascii="Times New Roman" w:hAnsi="Times New Roman"/>
                <w:sz w:val="14"/>
              </w:rPr>
              <w:t>greater nation from Moses</w:t>
            </w:r>
          </w:p>
        </w:tc>
        <w:tc>
          <w:tcPr>
            <w:tcW w:type="dxa" w:w="3561"/>
            <w:vAlign w:val="top"/>
          </w:tcPr>
          <w:p>
            <w:pPr>
              <w:spacing w:after="0"/>
            </w:pPr>
            <w:r>
              <w:rPr>
                <w:rFonts w:ascii="Times New Roman" w:hAnsi="Times New Roman"/>
                <w:sz w:val="14"/>
              </w:rPr>
              <w:t>Mansfield’s “test” interpretation plausible but not explicitly labelled.</w:t>
            </w:r>
          </w:p>
        </w:tc>
      </w:tr>
      <w:tr>
        <w:tc>
          <w:tcPr>
            <w:tcW w:type="dxa" w:w="3561"/>
            <w:vAlign w:val="top"/>
          </w:tcPr>
          <w:p>
            <w:pPr>
              <w:spacing w:after="0"/>
            </w:pPr>
            <w:r>
              <w:rPr>
                <w:rFonts w:ascii="Times New Roman" w:hAnsi="Times New Roman"/>
                <w:sz w:val="14"/>
              </w:rPr>
              <w:t>Num. 14:13–16</w:t>
            </w:r>
          </w:p>
        </w:tc>
        <w:tc>
          <w:tcPr>
            <w:tcW w:type="dxa" w:w="3561"/>
            <w:vAlign w:val="top"/>
          </w:tcPr>
          <w:p>
            <w:pPr>
              <w:spacing w:after="0"/>
            </w:pPr>
            <w:r>
              <w:rPr>
                <w:rFonts w:ascii="Times New Roman" w:hAnsi="Times New Roman"/>
                <w:sz w:val="14"/>
              </w:rPr>
              <w:t>Yahweh’s reputation</w:t>
            </w:r>
          </w:p>
        </w:tc>
        <w:tc>
          <w:tcPr>
            <w:tcW w:type="dxa" w:w="3561"/>
            <w:vAlign w:val="top"/>
          </w:tcPr>
          <w:p>
            <w:pPr>
              <w:spacing w:after="0"/>
            </w:pPr>
            <w:r>
              <w:rPr>
                <w:rFonts w:ascii="Times New Roman" w:hAnsi="Times New Roman"/>
                <w:sz w:val="14"/>
              </w:rPr>
              <w:t>Moses argues from how nations would interpret destruction.</w:t>
            </w:r>
          </w:p>
        </w:tc>
      </w:tr>
      <w:tr>
        <w:tc>
          <w:tcPr>
            <w:tcW w:type="dxa" w:w="3561"/>
            <w:vAlign w:val="top"/>
          </w:tcPr>
          <w:p>
            <w:pPr>
              <w:spacing w:after="0"/>
            </w:pPr>
            <w:r>
              <w:rPr>
                <w:rFonts w:ascii="Times New Roman" w:hAnsi="Times New Roman"/>
                <w:sz w:val="14"/>
              </w:rPr>
              <w:t>Num. 14:18</w:t>
            </w:r>
          </w:p>
        </w:tc>
        <w:tc>
          <w:tcPr>
            <w:tcW w:type="dxa" w:w="3561"/>
            <w:vAlign w:val="top"/>
          </w:tcPr>
          <w:p>
            <w:pPr>
              <w:spacing w:after="0"/>
            </w:pPr>
            <w:r>
              <w:rPr>
                <w:rFonts w:ascii="Times New Roman" w:hAnsi="Times New Roman"/>
                <w:sz w:val="14"/>
              </w:rPr>
              <w:t>Ex. 34:6–7</w:t>
            </w:r>
          </w:p>
        </w:tc>
        <w:tc>
          <w:tcPr>
            <w:tcW w:type="dxa" w:w="3561"/>
            <w:vAlign w:val="top"/>
          </w:tcPr>
          <w:p>
            <w:pPr>
              <w:spacing w:after="0"/>
            </w:pPr>
            <w:r>
              <w:rPr>
                <w:rFonts w:ascii="Times New Roman" w:hAnsi="Times New Roman"/>
                <w:sz w:val="14"/>
              </w:rPr>
              <w:t>Direct appeal to revealed Name/character.</w:t>
            </w:r>
          </w:p>
        </w:tc>
      </w:tr>
      <w:tr>
        <w:tc>
          <w:tcPr>
            <w:tcW w:type="dxa" w:w="3561"/>
            <w:vAlign w:val="top"/>
          </w:tcPr>
          <w:p>
            <w:pPr>
              <w:spacing w:after="0"/>
            </w:pPr>
            <w:r>
              <w:rPr>
                <w:rFonts w:ascii="Times New Roman" w:hAnsi="Times New Roman"/>
                <w:sz w:val="14"/>
              </w:rPr>
              <w:t>Num. 14:20</w:t>
            </w:r>
          </w:p>
        </w:tc>
        <w:tc>
          <w:tcPr>
            <w:tcW w:type="dxa" w:w="3561"/>
            <w:vAlign w:val="top"/>
          </w:tcPr>
          <w:p>
            <w:pPr>
              <w:spacing w:after="0"/>
            </w:pPr>
            <w:r>
              <w:rPr>
                <w:rFonts w:ascii="Times New Roman" w:hAnsi="Times New Roman"/>
                <w:sz w:val="14"/>
              </w:rPr>
              <w:t>pardoned</w:t>
            </w:r>
          </w:p>
        </w:tc>
        <w:tc>
          <w:tcPr>
            <w:tcW w:type="dxa" w:w="3561"/>
            <w:vAlign w:val="top"/>
          </w:tcPr>
          <w:p>
            <w:pPr>
              <w:spacing w:after="0"/>
            </w:pPr>
            <w:r>
              <w:rPr>
                <w:rFonts w:ascii="Times New Roman" w:hAnsi="Times New Roman"/>
                <w:sz w:val="14"/>
              </w:rPr>
              <w:t>Nation spared immediate annihilation; consequences remain.</w:t>
            </w:r>
          </w:p>
        </w:tc>
      </w:tr>
      <w:tr>
        <w:tc>
          <w:tcPr>
            <w:tcW w:type="dxa" w:w="3561"/>
            <w:vAlign w:val="top"/>
          </w:tcPr>
          <w:p>
            <w:pPr>
              <w:spacing w:after="0"/>
            </w:pPr>
            <w:r>
              <w:rPr>
                <w:rFonts w:ascii="Times New Roman" w:hAnsi="Times New Roman"/>
                <w:sz w:val="14"/>
              </w:rPr>
              <w:t>Num. 14:21</w:t>
            </w:r>
          </w:p>
        </w:tc>
        <w:tc>
          <w:tcPr>
            <w:tcW w:type="dxa" w:w="3561"/>
            <w:vAlign w:val="top"/>
          </w:tcPr>
          <w:p>
            <w:pPr>
              <w:spacing w:after="0"/>
            </w:pPr>
            <w:r>
              <w:rPr>
                <w:rFonts w:ascii="Times New Roman" w:hAnsi="Times New Roman"/>
                <w:sz w:val="14"/>
              </w:rPr>
              <w:t>earth filled with Yahweh’s glory</w:t>
            </w:r>
          </w:p>
        </w:tc>
        <w:tc>
          <w:tcPr>
            <w:tcW w:type="dxa" w:w="3561"/>
            <w:vAlign w:val="top"/>
          </w:tcPr>
          <w:p>
            <w:pPr>
              <w:spacing w:after="0"/>
            </w:pPr>
            <w:r>
              <w:rPr>
                <w:rFonts w:ascii="Times New Roman" w:hAnsi="Times New Roman"/>
                <w:sz w:val="14"/>
              </w:rPr>
              <w:t>Purpose survives generation’s failure.</w:t>
            </w:r>
          </w:p>
        </w:tc>
      </w:tr>
      <w:tr>
        <w:tc>
          <w:tcPr>
            <w:tcW w:type="dxa" w:w="3561"/>
            <w:vAlign w:val="top"/>
          </w:tcPr>
          <w:p>
            <w:pPr>
              <w:spacing w:after="0"/>
            </w:pPr>
            <w:r>
              <w:rPr>
                <w:rFonts w:ascii="Times New Roman" w:hAnsi="Times New Roman"/>
                <w:sz w:val="14"/>
              </w:rPr>
              <w:t>Num. 14:22</w:t>
            </w:r>
          </w:p>
        </w:tc>
        <w:tc>
          <w:tcPr>
            <w:tcW w:type="dxa" w:w="3561"/>
            <w:vAlign w:val="top"/>
          </w:tcPr>
          <w:p>
            <w:pPr>
              <w:spacing w:after="0"/>
            </w:pPr>
            <w:r>
              <w:rPr>
                <w:rFonts w:ascii="Times New Roman" w:hAnsi="Times New Roman"/>
                <w:sz w:val="14"/>
              </w:rPr>
              <w:t>ten times</w:t>
            </w:r>
          </w:p>
        </w:tc>
        <w:tc>
          <w:tcPr>
            <w:tcW w:type="dxa" w:w="3561"/>
            <w:vAlign w:val="top"/>
          </w:tcPr>
          <w:p>
            <w:pPr>
              <w:spacing w:after="0"/>
            </w:pPr>
            <w:r>
              <w:rPr>
                <w:rFonts w:ascii="Times New Roman" w:hAnsi="Times New Roman"/>
                <w:sz w:val="14"/>
              </w:rPr>
              <w:t>May be literal tally or idiom for repeated provocation.</w:t>
            </w:r>
          </w:p>
        </w:tc>
      </w:tr>
      <w:tr>
        <w:tc>
          <w:tcPr>
            <w:tcW w:type="dxa" w:w="3561"/>
            <w:vAlign w:val="top"/>
          </w:tcPr>
          <w:p>
            <w:pPr>
              <w:spacing w:after="0"/>
            </w:pPr>
            <w:r>
              <w:rPr>
                <w:rFonts w:ascii="Times New Roman" w:hAnsi="Times New Roman"/>
                <w:sz w:val="14"/>
              </w:rPr>
              <w:t>Num. 14:24</w:t>
            </w:r>
          </w:p>
        </w:tc>
        <w:tc>
          <w:tcPr>
            <w:tcW w:type="dxa" w:w="3561"/>
            <w:vAlign w:val="top"/>
          </w:tcPr>
          <w:p>
            <w:pPr>
              <w:spacing w:after="0"/>
            </w:pPr>
            <w:r>
              <w:rPr>
                <w:rFonts w:ascii="Times New Roman" w:hAnsi="Times New Roman"/>
                <w:sz w:val="14"/>
              </w:rPr>
              <w:t>another spirit</w:t>
            </w:r>
          </w:p>
        </w:tc>
        <w:tc>
          <w:tcPr>
            <w:tcW w:type="dxa" w:w="3561"/>
            <w:vAlign w:val="top"/>
          </w:tcPr>
          <w:p>
            <w:pPr>
              <w:spacing w:after="0"/>
            </w:pPr>
            <w:r>
              <w:rPr>
                <w:rFonts w:ascii="Times New Roman" w:hAnsi="Times New Roman"/>
                <w:sz w:val="14"/>
              </w:rPr>
              <w:t>Caleb’s different faithful disposition.</w:t>
            </w:r>
          </w:p>
        </w:tc>
      </w:tr>
      <w:tr>
        <w:tc>
          <w:tcPr>
            <w:tcW w:type="dxa" w:w="3561"/>
            <w:vAlign w:val="top"/>
          </w:tcPr>
          <w:p>
            <w:pPr>
              <w:spacing w:after="0"/>
            </w:pPr>
            <w:r>
              <w:rPr>
                <w:rFonts w:ascii="Times New Roman" w:hAnsi="Times New Roman"/>
                <w:sz w:val="14"/>
              </w:rPr>
              <w:t>Num. 14:29</w:t>
            </w:r>
          </w:p>
        </w:tc>
        <w:tc>
          <w:tcPr>
            <w:tcW w:type="dxa" w:w="3561"/>
            <w:vAlign w:val="top"/>
          </w:tcPr>
          <w:p>
            <w:pPr>
              <w:spacing w:after="0"/>
            </w:pPr>
            <w:r>
              <w:rPr>
                <w:rFonts w:ascii="Times New Roman" w:hAnsi="Times New Roman"/>
                <w:sz w:val="14"/>
              </w:rPr>
              <w:t>20 years and upward</w:t>
            </w:r>
          </w:p>
        </w:tc>
        <w:tc>
          <w:tcPr>
            <w:tcW w:type="dxa" w:w="3561"/>
            <w:vAlign w:val="top"/>
          </w:tcPr>
          <w:p>
            <w:pPr>
              <w:spacing w:after="0"/>
            </w:pPr>
            <w:r>
              <w:rPr>
                <w:rFonts w:ascii="Times New Roman" w:hAnsi="Times New Roman"/>
                <w:sz w:val="14"/>
              </w:rPr>
              <w:t>Responsible census generation sentenced.</w:t>
            </w:r>
          </w:p>
        </w:tc>
      </w:tr>
      <w:tr>
        <w:tc>
          <w:tcPr>
            <w:tcW w:type="dxa" w:w="3561"/>
            <w:vAlign w:val="top"/>
          </w:tcPr>
          <w:p>
            <w:pPr>
              <w:spacing w:after="0"/>
            </w:pPr>
            <w:r>
              <w:rPr>
                <w:rFonts w:ascii="Times New Roman" w:hAnsi="Times New Roman"/>
                <w:sz w:val="14"/>
              </w:rPr>
              <w:t>Num. 14:34</w:t>
            </w:r>
          </w:p>
        </w:tc>
        <w:tc>
          <w:tcPr>
            <w:tcW w:type="dxa" w:w="3561"/>
            <w:vAlign w:val="top"/>
          </w:tcPr>
          <w:p>
            <w:pPr>
              <w:spacing w:after="0"/>
            </w:pPr>
            <w:r>
              <w:rPr>
                <w:rFonts w:ascii="Times New Roman" w:hAnsi="Times New Roman"/>
                <w:sz w:val="14"/>
              </w:rPr>
              <w:t>40 days → 40 years</w:t>
            </w:r>
          </w:p>
        </w:tc>
        <w:tc>
          <w:tcPr>
            <w:tcW w:type="dxa" w:w="3561"/>
            <w:vAlign w:val="top"/>
          </w:tcPr>
          <w:p>
            <w:pPr>
              <w:spacing w:after="0"/>
            </w:pPr>
            <w:r>
              <w:rPr>
                <w:rFonts w:ascii="Times New Roman" w:hAnsi="Times New Roman"/>
                <w:sz w:val="14"/>
              </w:rPr>
              <w:t>Explicit year-for-day judgment.</w:t>
            </w:r>
          </w:p>
        </w:tc>
      </w:tr>
      <w:tr>
        <w:tc>
          <w:tcPr>
            <w:tcW w:type="dxa" w:w="3561"/>
            <w:vAlign w:val="top"/>
          </w:tcPr>
          <w:p>
            <w:pPr>
              <w:spacing w:after="0"/>
            </w:pPr>
            <w:r>
              <w:rPr>
                <w:rFonts w:ascii="Times New Roman" w:hAnsi="Times New Roman"/>
                <w:sz w:val="14"/>
              </w:rPr>
              <w:t>Num. 14:34</w:t>
            </w:r>
          </w:p>
        </w:tc>
        <w:tc>
          <w:tcPr>
            <w:tcW w:type="dxa" w:w="3561"/>
            <w:vAlign w:val="top"/>
          </w:tcPr>
          <w:p>
            <w:pPr>
              <w:spacing w:after="0"/>
            </w:pPr>
            <w:r>
              <w:rPr>
                <w:rFonts w:ascii="Times New Roman" w:hAnsi="Times New Roman"/>
                <w:sz w:val="14"/>
              </w:rPr>
              <w:t>tenu’ah</w:t>
            </w:r>
          </w:p>
        </w:tc>
        <w:tc>
          <w:tcPr>
            <w:tcW w:type="dxa" w:w="3561"/>
            <w:vAlign w:val="top"/>
          </w:tcPr>
          <w:p>
            <w:pPr>
              <w:spacing w:after="0"/>
            </w:pPr>
            <w:r>
              <w:rPr>
                <w:rFonts w:ascii="Times New Roman" w:hAnsi="Times New Roman"/>
                <w:sz w:val="14"/>
              </w:rPr>
              <w:t>Alienation/opposition/rebuff; KJV “breach of promise” can mislead.</w:t>
            </w:r>
          </w:p>
        </w:tc>
      </w:tr>
      <w:tr>
        <w:tc>
          <w:tcPr>
            <w:tcW w:type="dxa" w:w="3561"/>
            <w:vAlign w:val="top"/>
          </w:tcPr>
          <w:p>
            <w:pPr>
              <w:spacing w:after="0"/>
            </w:pPr>
            <w:r>
              <w:rPr>
                <w:rFonts w:ascii="Times New Roman" w:hAnsi="Times New Roman"/>
                <w:sz w:val="14"/>
              </w:rPr>
              <w:t>Num. 14:37</w:t>
            </w:r>
          </w:p>
        </w:tc>
        <w:tc>
          <w:tcPr>
            <w:tcW w:type="dxa" w:w="3561"/>
            <w:vAlign w:val="top"/>
          </w:tcPr>
          <w:p>
            <w:pPr>
              <w:spacing w:after="0"/>
            </w:pPr>
            <w:r>
              <w:rPr>
                <w:rFonts w:ascii="Times New Roman" w:hAnsi="Times New Roman"/>
                <w:sz w:val="14"/>
              </w:rPr>
              <w:t>plague</w:t>
            </w:r>
          </w:p>
        </w:tc>
        <w:tc>
          <w:tcPr>
            <w:tcW w:type="dxa" w:w="3561"/>
            <w:vAlign w:val="top"/>
          </w:tcPr>
          <w:p>
            <w:pPr>
              <w:spacing w:after="0"/>
            </w:pPr>
            <w:r>
              <w:rPr>
                <w:rFonts w:ascii="Times New Roman" w:hAnsi="Times New Roman"/>
                <w:sz w:val="14"/>
              </w:rPr>
              <w:t>Divine stroke/judgment; exact disease unstated.</w:t>
            </w:r>
          </w:p>
        </w:tc>
      </w:tr>
      <w:tr>
        <w:tc>
          <w:tcPr>
            <w:tcW w:type="dxa" w:w="3561"/>
            <w:vAlign w:val="top"/>
          </w:tcPr>
          <w:p>
            <w:pPr>
              <w:spacing w:after="0"/>
            </w:pPr>
            <w:r>
              <w:rPr>
                <w:rFonts w:ascii="Times New Roman" w:hAnsi="Times New Roman"/>
                <w:sz w:val="14"/>
              </w:rPr>
              <w:t>Num. 14:44</w:t>
            </w:r>
          </w:p>
        </w:tc>
        <w:tc>
          <w:tcPr>
            <w:tcW w:type="dxa" w:w="3561"/>
            <w:vAlign w:val="top"/>
          </w:tcPr>
          <w:p>
            <w:pPr>
              <w:spacing w:after="0"/>
            </w:pPr>
            <w:r>
              <w:rPr>
                <w:rFonts w:ascii="Times New Roman" w:hAnsi="Times New Roman"/>
                <w:sz w:val="14"/>
              </w:rPr>
              <w:t>ark and Moses remain</w:t>
            </w:r>
          </w:p>
        </w:tc>
        <w:tc>
          <w:tcPr>
            <w:tcW w:type="dxa" w:w="3561"/>
            <w:vAlign w:val="top"/>
          </w:tcPr>
          <w:p>
            <w:pPr>
              <w:spacing w:after="0"/>
            </w:pPr>
            <w:r>
              <w:rPr>
                <w:rFonts w:ascii="Times New Roman" w:hAnsi="Times New Roman"/>
                <w:sz w:val="14"/>
              </w:rPr>
              <w:t>Presumptuous force proceeds without Yahweh’s appointed presence.</w:t>
            </w:r>
          </w:p>
        </w:tc>
      </w:tr>
      <w:tr>
        <w:tc>
          <w:tcPr>
            <w:tcW w:type="dxa" w:w="3561"/>
            <w:vAlign w:val="top"/>
          </w:tcPr>
          <w:p>
            <w:pPr>
              <w:spacing w:after="0"/>
            </w:pPr>
            <w:r>
              <w:rPr>
                <w:rFonts w:ascii="Times New Roman" w:hAnsi="Times New Roman"/>
                <w:sz w:val="14"/>
              </w:rPr>
              <w:t>Num. 14:45</w:t>
            </w:r>
          </w:p>
        </w:tc>
        <w:tc>
          <w:tcPr>
            <w:tcW w:type="dxa" w:w="3561"/>
            <w:vAlign w:val="top"/>
          </w:tcPr>
          <w:p>
            <w:pPr>
              <w:spacing w:after="0"/>
            </w:pPr>
            <w:r>
              <w:rPr>
                <w:rFonts w:ascii="Times New Roman" w:hAnsi="Times New Roman"/>
                <w:sz w:val="14"/>
              </w:rPr>
              <w:t>Hormah / cherem</w:t>
            </w:r>
          </w:p>
        </w:tc>
        <w:tc>
          <w:tcPr>
            <w:tcW w:type="dxa" w:w="3561"/>
            <w:vAlign w:val="top"/>
          </w:tcPr>
          <w:p>
            <w:pPr>
              <w:spacing w:after="0"/>
            </w:pPr>
            <w:r>
              <w:rPr>
                <w:rFonts w:ascii="Times New Roman" w:hAnsi="Times New Roman"/>
                <w:sz w:val="14"/>
              </w:rPr>
              <w:t>Destruction/devotion; exact location/name chronology debated.</w:t>
            </w:r>
          </w:p>
        </w:tc>
      </w:tr>
    </w:tbl>
    <w:p>
      <w:pPr>
        <w:pStyle w:val="Heading1"/>
      </w:pPr>
      <w:r>
        <w:t>RESIDUAL UNCERTAINTIES</w:t>
      </w:r>
    </w:p>
    <w:p>
      <w:pPr/>
      <w:r>
        <w:rPr>
          <w:i w:val="0"/>
        </w:rPr>
        <w:t>Whether “ten times” is intended as an exact numerical count or idiom remains debated. The term tenu’ah in verse 34 is difficult, and the exact location/chronology of the name Hormah is uncertain. Mansfield’s psychological reconstructions of the rebels’ motives are retained only where the text itself supports them.</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