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NUMBERS 15</w:t>
      </w:r>
    </w:p>
    <w:p>
      <w:pPr>
        <w:pStyle w:val="Subtitle"/>
      </w:pPr>
      <w:r>
        <w:t>“WHEN YE BE COME INTO THE LAND” • MEAL AND DRINK OFFERINGS • ONE ORDINANCE FOR NATIVE AND GER • FIRST OF THE DOUGH • UNINTENTIONAL SIN • SIN WITH A HIGH HAND • SABBATH BREAKER • TZITZIT AND THE BLUE CORD</w:t>
      </w:r>
    </w:p>
    <w:p>
      <w:pPr/>
      <w:r>
        <w:rPr>
          <w:i/>
        </w:rPr>
        <w:t>H. P. Mansfield Bible notes — checked and arranged in verse-by-verse Expositor style</w:t>
      </w:r>
    </w:p>
    <w:p>
      <w:pPr/>
      <w:r>
        <w:rPr>
          <w:i w:val="0"/>
        </w:rPr>
        <w:t>Source: HPB 03-Lev12-Num36.PDF, pp. 61–63; cross-checked with Mansfield’s Numbers Expositor Chapter 15.</w:t>
      </w:r>
    </w:p>
    <w:p>
      <w:pPr>
        <w:pStyle w:val="Heading1"/>
      </w:pPr>
      <w:r>
        <w:t>CHAPTER OVERVIEW</w:t>
      </w:r>
    </w:p>
    <w:p>
      <w:pPr/>
      <w:r>
        <w:rPr>
          <w:i w:val="0"/>
        </w:rPr>
        <w:t>Immediately after the first generation is condemned, Numbers 15 speaks of offerings “when ye be come into the land.” The wording reassures Israel that Yahweh’s national purpose and promised inheritance still stand beyond the condemned generation.</w:t>
      </w:r>
    </w:p>
    <w:p>
      <w:pPr/>
      <w:r>
        <w:rPr>
          <w:i w:val="0"/>
        </w:rPr>
        <w:t>The chapter distinguishes inadvertent failure from deliberate defiance, then closes by placing a visible reminder on Israel’s garments so that heart and eyes do not repeat the wandering of the spies.</w:t>
      </w:r>
    </w:p>
    <w:p>
      <w:pPr>
        <w:pStyle w:val="Heading1"/>
      </w:pPr>
      <w:r>
        <w:t>OFFERINGS IN THE LAND — NUMBERS 15:1–16</w:t>
      </w:r>
    </w:p>
    <w:p>
      <w:pPr>
        <w:pStyle w:val="Heading2"/>
      </w:pPr>
      <w:r>
        <w:t>Numbers 15:1–3 — the promise still looks toward entry</w:t>
      </w:r>
    </w:p>
    <w:p>
      <w:pPr/>
      <w:r>
        <w:rPr>
          <w:i w:val="0"/>
        </w:rPr>
        <w:t>Yahweh gives regulations for burnt offerings, vows, freewill gifts and appointed-festival sacrifices “when ye be come into the land of your habitations.”</w:t>
      </w:r>
    </w:p>
    <w:p>
      <w:pPr/>
      <w:r>
        <w:rPr>
          <w:i w:val="0"/>
        </w:rPr>
        <w:t>The condemned adults will die, but the nation’s future is not cancelled.</w:t>
      </w:r>
    </w:p>
    <w:p>
      <w:pPr>
        <w:pStyle w:val="Heading2"/>
      </w:pPr>
      <w:r>
        <w:t>Numbers 15:4–12 — grain, oil and wine proportions</w:t>
      </w:r>
    </w:p>
    <w:p>
      <w:pPr/>
      <w:r>
        <w:rPr>
          <w:i w:val="0"/>
        </w:rPr>
        <w:t>A lamb is accompanied by one tenth ephah of flour with one quarter hin of oil and one quarter hin of wine; a ram by two tenths with one third hin; a bull by three tenths with one half hin.</w:t>
      </w:r>
    </w:p>
    <w:p>
      <w:pPr/>
      <w:r>
        <w:rPr>
          <w:i w:val="0"/>
        </w:rPr>
        <w:t>KJV “meat offering” means grain/meal offering.</w:t>
      </w:r>
    </w:p>
    <w:p>
      <w:pPr>
        <w:pStyle w:val="Heading2"/>
      </w:pPr>
      <w:r>
        <w:t>Numbers 15:13–16 — one rule in this sacrificial context</w:t>
      </w:r>
    </w:p>
    <w:p>
      <w:pPr/>
      <w:r>
        <w:rPr>
          <w:i w:val="0"/>
        </w:rPr>
        <w:t>Native-born Israelite and ger, resident sojourner, are to bring these offerings under the same ordinance before Yahweh.</w:t>
      </w:r>
    </w:p>
    <w:p>
      <w:pPr/>
      <w:r>
        <w:rPr>
          <w:i w:val="0"/>
        </w:rPr>
        <w:t>The repeated “one ordinance … one law” should be read in the context stated here; it is not a claim that every social/legal distinction elsewhere in Torah is erased.</w:t>
      </w:r>
    </w:p>
    <w:p>
      <w:pPr>
        <w:pStyle w:val="Heading1"/>
      </w:pPr>
      <w:r>
        <w:t>FIRST OF THE DOUGH — NUMBERS 15:17–21</w:t>
      </w:r>
    </w:p>
    <w:p>
      <w:pPr>
        <w:pStyle w:val="Heading2"/>
      </w:pPr>
      <w:r>
        <w:t>Numbers 15:17–21 — Yahweh receives the first portion</w:t>
      </w:r>
    </w:p>
    <w:p>
      <w:pPr/>
      <w:r>
        <w:rPr>
          <w:i w:val="0"/>
        </w:rPr>
        <w:t>When Israel eats the bread of the land, a contribution is raised from the first of the ‘arisah, traditionally rendered dough.</w:t>
      </w:r>
    </w:p>
    <w:p>
      <w:pPr/>
      <w:r>
        <w:rPr>
          <w:i w:val="0"/>
        </w:rPr>
        <w:t>The precise sense of ‘arisah is uncertain—dough, kneading/batch, or prepared meal have been proposed—but the command clearly dedicates the first portion before ordinary use.</w:t>
      </w:r>
    </w:p>
    <w:p>
      <w:pPr>
        <w:pStyle w:val="Heading1"/>
      </w:pPr>
      <w:r>
        <w:t>UNINTENTIONAL SIN — NUMBERS 15:22–29</w:t>
      </w:r>
    </w:p>
    <w:p>
      <w:pPr>
        <w:pStyle w:val="Heading2"/>
      </w:pPr>
      <w:r>
        <w:t>Numbers 15:22–26 — congregational inadvertence</w:t>
      </w:r>
    </w:p>
    <w:p>
      <w:pPr/>
      <w:r>
        <w:rPr>
          <w:i w:val="0"/>
        </w:rPr>
        <w:t>If the congregation inadvertently fails regarding Yahweh’s commands, it presents a bull for burnt offering with its grain/drink offerings and a male goat for sin/purification offering; the priest makes atonement and forgiveness is granted.</w:t>
      </w:r>
    </w:p>
    <w:p>
      <w:pPr/>
      <w:r>
        <w:rPr>
          <w:i w:val="0"/>
        </w:rPr>
        <w:t>Mansfield distinguishes this section from Leviticus 4 as sins of omission versus commission. That neat division is not stated explicitly and should not be pressed.</w:t>
      </w:r>
    </w:p>
    <w:p>
      <w:pPr>
        <w:pStyle w:val="Heading2"/>
      </w:pPr>
      <w:r>
        <w:t>Numbers 15:27–29 — individual inadvertence</w:t>
      </w:r>
    </w:p>
    <w:p>
      <w:pPr/>
      <w:r>
        <w:rPr>
          <w:i w:val="0"/>
        </w:rPr>
        <w:t>An individual who sins unwittingly brings a year-old female goat for a sin/purification offering. The same rule applies to native and resident sojourner in this matter.</w:t>
      </w:r>
    </w:p>
    <w:p>
      <w:pPr/>
      <w:r>
        <w:rPr>
          <w:i w:val="0"/>
        </w:rPr>
        <w:t>Shegagah denotes inadvertence/error, from the idea of straying.</w:t>
      </w:r>
    </w:p>
    <w:p>
      <w:pPr>
        <w:pStyle w:val="Heading1"/>
      </w:pPr>
      <w:r>
        <w:t>SIN WITH A HIGH HAND — NUMBERS 15:30–31</w:t>
      </w:r>
    </w:p>
    <w:p>
      <w:pPr>
        <w:pStyle w:val="Heading2"/>
      </w:pPr>
      <w:r>
        <w:t>Numbers 15:30 — beyad ramah</w:t>
      </w:r>
    </w:p>
    <w:p>
      <w:pPr/>
      <w:r>
        <w:rPr>
          <w:i w:val="0"/>
        </w:rPr>
        <w:t>The person who acts beyad ramah, literally “with a high/uplifted hand,” acts defiantly/presumptuously and reproaches/blasphemes Yahweh.</w:t>
      </w:r>
    </w:p>
    <w:p>
      <w:pPr/>
      <w:r>
        <w:rPr>
          <w:i w:val="0"/>
        </w:rPr>
        <w:t>This is not merely a stronger emotional version of accidental sin; it is conscious rejection of Divine authority.</w:t>
      </w:r>
    </w:p>
    <w:p>
      <w:pPr>
        <w:pStyle w:val="Heading2"/>
      </w:pPr>
      <w:r>
        <w:t>Numbers 15:31 — despising the word</w:t>
      </w:r>
    </w:p>
    <w:p>
      <w:pPr/>
      <w:r>
        <w:rPr>
          <w:i w:val="0"/>
        </w:rPr>
        <w:t>Because the person has bazah, despised, Yahweh’s word and broken His commandment, that nephesh/person is to be “cut off” and bears iniquity.</w:t>
      </w:r>
    </w:p>
    <w:p>
      <w:pPr/>
      <w:r>
        <w:rPr>
          <w:i w:val="0"/>
        </w:rPr>
        <w:t>“Cut off” should not be reduced automatically to Mansfield’s “excommunicated”; the biblical formula can denote Divine removal/death or exclusion depending on context.</w:t>
      </w:r>
    </w:p>
    <w:p>
      <w:pPr>
        <w:pStyle w:val="Heading1"/>
      </w:pPr>
      <w:r>
        <w:t>THE SABBATH BREAKER — NUMBERS 15:32–36</w:t>
      </w:r>
    </w:p>
    <w:p>
      <w:pPr>
        <w:pStyle w:val="Heading2"/>
      </w:pPr>
      <w:r>
        <w:t>Numbers 15:32–34 — gathered sticks and held in custody</w:t>
      </w:r>
    </w:p>
    <w:p>
      <w:pPr/>
      <w:r>
        <w:rPr>
          <w:i w:val="0"/>
        </w:rPr>
        <w:t>A man is found gathering sticks on the Sabbath and is brought to Moses and Aaron. He is held because what should be done in this specific case has not yet been declared.</w:t>
      </w:r>
    </w:p>
    <w:p>
      <w:pPr/>
      <w:r>
        <w:rPr>
          <w:i w:val="0"/>
        </w:rPr>
        <w:t>Exodus 31:14–15 had already stated death as the Sabbath penalty; Numbers now receives the specific judicial ruling and manner of execution.</w:t>
      </w:r>
    </w:p>
    <w:p>
      <w:pPr>
        <w:pStyle w:val="Heading2"/>
      </w:pPr>
      <w:r>
        <w:t>Numbers 15:35–36 — stoning outside the camp</w:t>
      </w:r>
    </w:p>
    <w:p>
      <w:pPr/>
      <w:r>
        <w:rPr>
          <w:i w:val="0"/>
        </w:rPr>
        <w:t>Yahweh commands that the man be stoned outside the camp, and the congregation carries out the sentence.</w:t>
      </w:r>
    </w:p>
    <w:p>
      <w:pPr/>
      <w:r>
        <w:rPr>
          <w:i w:val="0"/>
        </w:rPr>
        <w:t>The text does not explicitly state why stoning was selected; Mansfield’s suggestion that it avoided corpse-contact defilement is possible but not given as the reason.</w:t>
      </w:r>
    </w:p>
    <w:p>
      <w:pPr>
        <w:pStyle w:val="Heading1"/>
      </w:pPr>
      <w:r>
        <w:t>TZITZIT — NUMBERS 15:37–41</w:t>
      </w:r>
    </w:p>
    <w:p>
      <w:pPr>
        <w:pStyle w:val="Heading2"/>
      </w:pPr>
      <w:r>
        <w:t>Numbers 15:37–38 — tassels and a blue cord</w:t>
      </w:r>
    </w:p>
    <w:p>
      <w:pPr/>
      <w:r>
        <w:rPr>
          <w:i w:val="0"/>
        </w:rPr>
        <w:t>Israel must make tzitzit, tassels/fringes, on the kanaph, corners/edges, of garments and place on the tassel of each corner a petil tekhelet, cord/thread of blue-blue-purple dye.</w:t>
      </w:r>
    </w:p>
    <w:p>
      <w:pPr/>
      <w:r>
        <w:rPr>
          <w:i w:val="0"/>
        </w:rPr>
        <w:t>This corrects Mansfield’s lexical note: tzitzit is the tassel/fringe; kanaph is the corner/edge. The word is not properly derived here as “ranath,” nor need it mean “to glitter.”</w:t>
      </w:r>
    </w:p>
    <w:p>
      <w:pPr>
        <w:pStyle w:val="Heading2"/>
      </w:pPr>
      <w:r>
        <w:t>Numbers 15:39 — remember; do not explore after heart and eyes</w:t>
      </w:r>
    </w:p>
    <w:p>
      <w:pPr/>
      <w:r>
        <w:rPr>
          <w:i w:val="0"/>
        </w:rPr>
        <w:t>The tassel is to be seen so that Israel remembers and does Yahweh’s commandments rather than taturu, going about/searching after heart and eyes in spiritual unfaithfulness.</w:t>
      </w:r>
    </w:p>
    <w:p>
      <w:pPr/>
      <w:r>
        <w:rPr>
          <w:i w:val="0"/>
        </w:rPr>
        <w:t>The verb is from the same root tur used for the spies’ searching in chapter 13, forming a powerful literary echo: the eyes that explored the land became instruments of unbelief; Israel must not let heart and eyes become its guide.</w:t>
      </w:r>
    </w:p>
    <w:p>
      <w:pPr>
        <w:pStyle w:val="Heading2"/>
      </w:pPr>
      <w:r>
        <w:t>Numbers 15:40–41 — holiness grounded in redemption</w:t>
      </w:r>
    </w:p>
    <w:p>
      <w:pPr/>
      <w:r>
        <w:rPr>
          <w:i w:val="0"/>
        </w:rPr>
        <w:t>Remembering leads to doing and holiness. The chapter closes, “I am Yahweh your God, which brought you out of the land of Egypt, to be your God.”</w:t>
      </w:r>
    </w:p>
    <w:p>
      <w:pPr/>
      <w:r>
        <w:rPr>
          <w:i w:val="0"/>
        </w:rPr>
        <w:t>Obedience is the response of a redeemed people, not a means by which Egypt is escaped.</w:t>
      </w:r>
    </w:p>
    <w:p>
      <w:pPr>
        <w:pStyle w:val="Heading1"/>
      </w:pPr>
      <w:r>
        <w:t>PRINCIPAL THEMES</w:t>
      </w:r>
    </w:p>
    <w:p>
      <w:pPr>
        <w:ind w:left="259" w:hanging="202"/>
      </w:pPr>
      <w:r>
        <w:rPr>
          <w:b/>
        </w:rPr>
        <w:t xml:space="preserve">• </w:t>
      </w:r>
      <w:r>
        <w:t>“When ye be come into the land” reassures the new generation that Yahweh’s national purpose continues.</w:t>
      </w:r>
    </w:p>
    <w:p>
      <w:pPr>
        <w:ind w:left="259" w:hanging="202"/>
      </w:pPr>
      <w:r>
        <w:rPr>
          <w:b/>
        </w:rPr>
        <w:t xml:space="preserve">• </w:t>
      </w:r>
      <w:r>
        <w:t>Meal and drink offerings scale with the sacrificial animal.</w:t>
      </w:r>
    </w:p>
    <w:p>
      <w:pPr>
        <w:ind w:left="259" w:hanging="202"/>
      </w:pPr>
      <w:r>
        <w:rPr>
          <w:b/>
        </w:rPr>
        <w:t xml:space="preserve">• </w:t>
      </w:r>
      <w:r>
        <w:t>One ordinance for native and ger is explicit in the sacrificial and inadvertent-sin contexts stated.</w:t>
      </w:r>
    </w:p>
    <w:p>
      <w:pPr>
        <w:ind w:left="259" w:hanging="202"/>
      </w:pPr>
      <w:r>
        <w:rPr>
          <w:b/>
        </w:rPr>
        <w:t xml:space="preserve">• </w:t>
      </w:r>
      <w:r>
        <w:t>The exact meaning of ‘arisah is uncertain, but the first prepared portion belongs to Yahweh.</w:t>
      </w:r>
    </w:p>
    <w:p>
      <w:pPr>
        <w:ind w:left="259" w:hanging="202"/>
      </w:pPr>
      <w:r>
        <w:rPr>
          <w:b/>
        </w:rPr>
        <w:t xml:space="preserve">• </w:t>
      </w:r>
      <w:r>
        <w:t>Unintentional error is distinguished from sin committed “with a high hand.”</w:t>
      </w:r>
    </w:p>
    <w:p>
      <w:pPr>
        <w:ind w:left="259" w:hanging="202"/>
      </w:pPr>
      <w:r>
        <w:rPr>
          <w:b/>
        </w:rPr>
        <w:t xml:space="preserve">• </w:t>
      </w:r>
      <w:r>
        <w:t>“Cut off” is broader than the single gloss “excommunicated.”</w:t>
      </w:r>
    </w:p>
    <w:p>
      <w:pPr>
        <w:ind w:left="259" w:hanging="202"/>
      </w:pPr>
      <w:r>
        <w:rPr>
          <w:b/>
        </w:rPr>
        <w:t xml:space="preserve">• </w:t>
      </w:r>
      <w:r>
        <w:t>The Sabbath death penalty existed already; this case receives its specific judicial ruling.</w:t>
      </w:r>
    </w:p>
    <w:p>
      <w:pPr>
        <w:ind w:left="259" w:hanging="202"/>
      </w:pPr>
      <w:r>
        <w:rPr>
          <w:b/>
        </w:rPr>
        <w:t xml:space="preserve">• </w:t>
      </w:r>
      <w:r>
        <w:t>Tzitzit = tassels/fringes; kanaph = corners/edges; petil tekhelet = blue cord/thread.</w:t>
      </w:r>
    </w:p>
    <w:p>
      <w:pPr>
        <w:ind w:left="259" w:hanging="202"/>
      </w:pPr>
      <w:r>
        <w:rPr>
          <w:b/>
        </w:rPr>
        <w:t xml:space="preserve">• </w:t>
      </w:r>
      <w:r>
        <w:t>The same root tur links the spies’ searching with the warning not to wander after heart and eyes.</w:t>
      </w:r>
    </w:p>
    <w:p>
      <w:pPr>
        <w:ind w:left="259" w:hanging="202"/>
      </w:pPr>
      <w:r>
        <w:rPr>
          <w:b/>
        </w:rPr>
        <w:t xml:space="preserve">• </w:t>
      </w:r>
      <w:r>
        <w:t>Redemption from Egypt grounds remembrance and obedience.</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pPr>
            <w:r>
              <w:rPr>
                <w:rFonts w:ascii="Times New Roman" w:hAnsi="Times New Roman"/>
                <w:sz w:val="14"/>
              </w:rPr>
              <w:t>Num. 15:4–5</w:t>
            </w:r>
          </w:p>
        </w:tc>
        <w:tc>
          <w:tcPr>
            <w:tcW w:type="dxa" w:w="3561"/>
            <w:vAlign w:val="top"/>
          </w:tcPr>
          <w:p>
            <w:pPr>
              <w:spacing w:after="0"/>
            </w:pPr>
            <w:r>
              <w:rPr>
                <w:rFonts w:ascii="Times New Roman" w:hAnsi="Times New Roman"/>
                <w:sz w:val="14"/>
              </w:rPr>
              <w:t>lamb additions</w:t>
            </w:r>
          </w:p>
        </w:tc>
        <w:tc>
          <w:tcPr>
            <w:tcW w:type="dxa" w:w="3561"/>
            <w:vAlign w:val="top"/>
          </w:tcPr>
          <w:p>
            <w:pPr>
              <w:spacing w:after="0"/>
            </w:pPr>
            <w:r>
              <w:rPr>
                <w:rFonts w:ascii="Times New Roman" w:hAnsi="Times New Roman"/>
                <w:sz w:val="14"/>
              </w:rPr>
              <w:t>1/10 ephah flour; 1/4 hin oil; 1/4 hin wine.</w:t>
            </w:r>
          </w:p>
        </w:tc>
      </w:tr>
      <w:tr>
        <w:tc>
          <w:tcPr>
            <w:tcW w:type="dxa" w:w="3561"/>
            <w:vAlign w:val="top"/>
          </w:tcPr>
          <w:p>
            <w:pPr>
              <w:spacing w:after="0"/>
            </w:pPr>
            <w:r>
              <w:rPr>
                <w:rFonts w:ascii="Times New Roman" w:hAnsi="Times New Roman"/>
                <w:sz w:val="14"/>
              </w:rPr>
              <w:t>Num. 15:6–7</w:t>
            </w:r>
          </w:p>
        </w:tc>
        <w:tc>
          <w:tcPr>
            <w:tcW w:type="dxa" w:w="3561"/>
            <w:vAlign w:val="top"/>
          </w:tcPr>
          <w:p>
            <w:pPr>
              <w:spacing w:after="0"/>
            </w:pPr>
            <w:r>
              <w:rPr>
                <w:rFonts w:ascii="Times New Roman" w:hAnsi="Times New Roman"/>
                <w:sz w:val="14"/>
              </w:rPr>
              <w:t>ram additions</w:t>
            </w:r>
          </w:p>
        </w:tc>
        <w:tc>
          <w:tcPr>
            <w:tcW w:type="dxa" w:w="3561"/>
            <w:vAlign w:val="top"/>
          </w:tcPr>
          <w:p>
            <w:pPr>
              <w:spacing w:after="0"/>
            </w:pPr>
            <w:r>
              <w:rPr>
                <w:rFonts w:ascii="Times New Roman" w:hAnsi="Times New Roman"/>
                <w:sz w:val="14"/>
              </w:rPr>
              <w:t>2/10 flour; 1/3 hin oil; 1/3 hin wine.</w:t>
            </w:r>
          </w:p>
        </w:tc>
      </w:tr>
      <w:tr>
        <w:tc>
          <w:tcPr>
            <w:tcW w:type="dxa" w:w="3561"/>
            <w:vAlign w:val="top"/>
          </w:tcPr>
          <w:p>
            <w:pPr>
              <w:spacing w:after="0"/>
            </w:pPr>
            <w:r>
              <w:rPr>
                <w:rFonts w:ascii="Times New Roman" w:hAnsi="Times New Roman"/>
                <w:sz w:val="14"/>
              </w:rPr>
              <w:t>Num. 15:8–10</w:t>
            </w:r>
          </w:p>
        </w:tc>
        <w:tc>
          <w:tcPr>
            <w:tcW w:type="dxa" w:w="3561"/>
            <w:vAlign w:val="top"/>
          </w:tcPr>
          <w:p>
            <w:pPr>
              <w:spacing w:after="0"/>
            </w:pPr>
            <w:r>
              <w:rPr>
                <w:rFonts w:ascii="Times New Roman" w:hAnsi="Times New Roman"/>
                <w:sz w:val="14"/>
              </w:rPr>
              <w:t>bull additions</w:t>
            </w:r>
          </w:p>
        </w:tc>
        <w:tc>
          <w:tcPr>
            <w:tcW w:type="dxa" w:w="3561"/>
            <w:vAlign w:val="top"/>
          </w:tcPr>
          <w:p>
            <w:pPr>
              <w:spacing w:after="0"/>
            </w:pPr>
            <w:r>
              <w:rPr>
                <w:rFonts w:ascii="Times New Roman" w:hAnsi="Times New Roman"/>
                <w:sz w:val="14"/>
              </w:rPr>
              <w:t>3/10 flour; 1/2 hin oil; 1/2 hin wine.</w:t>
            </w:r>
          </w:p>
        </w:tc>
      </w:tr>
      <w:tr>
        <w:tc>
          <w:tcPr>
            <w:tcW w:type="dxa" w:w="3561"/>
            <w:vAlign w:val="top"/>
          </w:tcPr>
          <w:p>
            <w:pPr>
              <w:spacing w:after="0"/>
            </w:pPr>
            <w:r>
              <w:rPr>
                <w:rFonts w:ascii="Times New Roman" w:hAnsi="Times New Roman"/>
                <w:sz w:val="14"/>
              </w:rPr>
              <w:t>Num. 15:14–16</w:t>
            </w:r>
          </w:p>
        </w:tc>
        <w:tc>
          <w:tcPr>
            <w:tcW w:type="dxa" w:w="3561"/>
            <w:vAlign w:val="top"/>
          </w:tcPr>
          <w:p>
            <w:pPr>
              <w:spacing w:after="0"/>
            </w:pPr>
            <w:r>
              <w:rPr>
                <w:rFonts w:ascii="Times New Roman" w:hAnsi="Times New Roman"/>
                <w:sz w:val="14"/>
              </w:rPr>
              <w:t>ger + native</w:t>
            </w:r>
          </w:p>
        </w:tc>
        <w:tc>
          <w:tcPr>
            <w:tcW w:type="dxa" w:w="3561"/>
            <w:vAlign w:val="top"/>
          </w:tcPr>
          <w:p>
            <w:pPr>
              <w:spacing w:after="0"/>
            </w:pPr>
            <w:r>
              <w:rPr>
                <w:rFonts w:ascii="Times New Roman" w:hAnsi="Times New Roman"/>
                <w:sz w:val="14"/>
              </w:rPr>
              <w:t>Same offering ordinance in stated context.</w:t>
            </w:r>
          </w:p>
        </w:tc>
      </w:tr>
      <w:tr>
        <w:tc>
          <w:tcPr>
            <w:tcW w:type="dxa" w:w="3561"/>
            <w:vAlign w:val="top"/>
          </w:tcPr>
          <w:p>
            <w:pPr>
              <w:spacing w:after="0"/>
            </w:pPr>
            <w:r>
              <w:rPr>
                <w:rFonts w:ascii="Times New Roman" w:hAnsi="Times New Roman"/>
                <w:sz w:val="14"/>
              </w:rPr>
              <w:t>Num. 15:20</w:t>
            </w:r>
          </w:p>
        </w:tc>
        <w:tc>
          <w:tcPr>
            <w:tcW w:type="dxa" w:w="3561"/>
            <w:vAlign w:val="top"/>
          </w:tcPr>
          <w:p>
            <w:pPr>
              <w:spacing w:after="0"/>
            </w:pPr>
            <w:r>
              <w:rPr>
                <w:rFonts w:ascii="Times New Roman" w:hAnsi="Times New Roman"/>
                <w:sz w:val="14"/>
              </w:rPr>
              <w:t>‘arisah</w:t>
            </w:r>
          </w:p>
        </w:tc>
        <w:tc>
          <w:tcPr>
            <w:tcW w:type="dxa" w:w="3561"/>
            <w:vAlign w:val="top"/>
          </w:tcPr>
          <w:p>
            <w:pPr>
              <w:spacing w:after="0"/>
            </w:pPr>
            <w:r>
              <w:rPr>
                <w:rFonts w:ascii="Times New Roman" w:hAnsi="Times New Roman"/>
                <w:sz w:val="14"/>
              </w:rPr>
              <w:t>Dough/kneading/batch sense uncertain.</w:t>
            </w:r>
          </w:p>
        </w:tc>
      </w:tr>
      <w:tr>
        <w:tc>
          <w:tcPr>
            <w:tcW w:type="dxa" w:w="3561"/>
            <w:vAlign w:val="top"/>
          </w:tcPr>
          <w:p>
            <w:pPr>
              <w:spacing w:after="0"/>
            </w:pPr>
            <w:r>
              <w:rPr>
                <w:rFonts w:ascii="Times New Roman" w:hAnsi="Times New Roman"/>
                <w:sz w:val="14"/>
              </w:rPr>
              <w:t>Num. 15:24</w:t>
            </w:r>
          </w:p>
        </w:tc>
        <w:tc>
          <w:tcPr>
            <w:tcW w:type="dxa" w:w="3561"/>
            <w:vAlign w:val="top"/>
          </w:tcPr>
          <w:p>
            <w:pPr>
              <w:spacing w:after="0"/>
            </w:pPr>
            <w:r>
              <w:rPr>
                <w:rFonts w:ascii="Times New Roman" w:hAnsi="Times New Roman"/>
                <w:sz w:val="14"/>
              </w:rPr>
              <w:t>congregational inadvertence</w:t>
            </w:r>
          </w:p>
        </w:tc>
        <w:tc>
          <w:tcPr>
            <w:tcW w:type="dxa" w:w="3561"/>
            <w:vAlign w:val="top"/>
          </w:tcPr>
          <w:p>
            <w:pPr>
              <w:spacing w:after="0"/>
            </w:pPr>
            <w:r>
              <w:rPr>
                <w:rFonts w:ascii="Times New Roman" w:hAnsi="Times New Roman"/>
                <w:sz w:val="14"/>
              </w:rPr>
              <w:t>Bull burnt offering + male goat sin/purification offering.</w:t>
            </w:r>
          </w:p>
        </w:tc>
      </w:tr>
      <w:tr>
        <w:tc>
          <w:tcPr>
            <w:tcW w:type="dxa" w:w="3561"/>
            <w:vAlign w:val="top"/>
          </w:tcPr>
          <w:p>
            <w:pPr>
              <w:spacing w:after="0"/>
            </w:pPr>
            <w:r>
              <w:rPr>
                <w:rFonts w:ascii="Times New Roman" w:hAnsi="Times New Roman"/>
                <w:sz w:val="14"/>
              </w:rPr>
              <w:t>Num. 15:27</w:t>
            </w:r>
          </w:p>
        </w:tc>
        <w:tc>
          <w:tcPr>
            <w:tcW w:type="dxa" w:w="3561"/>
            <w:vAlign w:val="top"/>
          </w:tcPr>
          <w:p>
            <w:pPr>
              <w:spacing w:after="0"/>
            </w:pPr>
            <w:r>
              <w:rPr>
                <w:rFonts w:ascii="Times New Roman" w:hAnsi="Times New Roman"/>
                <w:sz w:val="14"/>
              </w:rPr>
              <w:t>individual inadvertence</w:t>
            </w:r>
          </w:p>
        </w:tc>
        <w:tc>
          <w:tcPr>
            <w:tcW w:type="dxa" w:w="3561"/>
            <w:vAlign w:val="top"/>
          </w:tcPr>
          <w:p>
            <w:pPr>
              <w:spacing w:after="0"/>
            </w:pPr>
            <w:r>
              <w:rPr>
                <w:rFonts w:ascii="Times New Roman" w:hAnsi="Times New Roman"/>
                <w:sz w:val="14"/>
              </w:rPr>
              <w:t>Year-old female goat.</w:t>
            </w:r>
          </w:p>
        </w:tc>
      </w:tr>
      <w:tr>
        <w:tc>
          <w:tcPr>
            <w:tcW w:type="dxa" w:w="3561"/>
            <w:vAlign w:val="top"/>
          </w:tcPr>
          <w:p>
            <w:pPr>
              <w:spacing w:after="0"/>
            </w:pPr>
            <w:r>
              <w:rPr>
                <w:rFonts w:ascii="Times New Roman" w:hAnsi="Times New Roman"/>
                <w:sz w:val="14"/>
              </w:rPr>
              <w:t>Num. 15:28</w:t>
            </w:r>
          </w:p>
        </w:tc>
        <w:tc>
          <w:tcPr>
            <w:tcW w:type="dxa" w:w="3561"/>
            <w:vAlign w:val="top"/>
          </w:tcPr>
          <w:p>
            <w:pPr>
              <w:spacing w:after="0"/>
            </w:pPr>
            <w:r>
              <w:rPr>
                <w:rFonts w:ascii="Times New Roman" w:hAnsi="Times New Roman"/>
                <w:sz w:val="14"/>
              </w:rPr>
              <w:t>shegagah</w:t>
            </w:r>
          </w:p>
        </w:tc>
        <w:tc>
          <w:tcPr>
            <w:tcW w:type="dxa" w:w="3561"/>
            <w:vAlign w:val="top"/>
          </w:tcPr>
          <w:p>
            <w:pPr>
              <w:spacing w:after="0"/>
            </w:pPr>
            <w:r>
              <w:rPr>
                <w:rFonts w:ascii="Times New Roman" w:hAnsi="Times New Roman"/>
                <w:sz w:val="14"/>
              </w:rPr>
              <w:t>Inadvertence/error/straying.</w:t>
            </w:r>
          </w:p>
        </w:tc>
      </w:tr>
      <w:tr>
        <w:tc>
          <w:tcPr>
            <w:tcW w:type="dxa" w:w="3561"/>
            <w:vAlign w:val="top"/>
          </w:tcPr>
          <w:p>
            <w:pPr>
              <w:spacing w:after="0"/>
            </w:pPr>
            <w:r>
              <w:rPr>
                <w:rFonts w:ascii="Times New Roman" w:hAnsi="Times New Roman"/>
                <w:sz w:val="14"/>
              </w:rPr>
              <w:t>Num. 15:30</w:t>
            </w:r>
          </w:p>
        </w:tc>
        <w:tc>
          <w:tcPr>
            <w:tcW w:type="dxa" w:w="3561"/>
            <w:vAlign w:val="top"/>
          </w:tcPr>
          <w:p>
            <w:pPr>
              <w:spacing w:after="0"/>
            </w:pPr>
            <w:r>
              <w:rPr>
                <w:rFonts w:ascii="Times New Roman" w:hAnsi="Times New Roman"/>
                <w:sz w:val="14"/>
              </w:rPr>
              <w:t>beyad ramah</w:t>
            </w:r>
          </w:p>
        </w:tc>
        <w:tc>
          <w:tcPr>
            <w:tcW w:type="dxa" w:w="3561"/>
            <w:vAlign w:val="top"/>
          </w:tcPr>
          <w:p>
            <w:pPr>
              <w:spacing w:after="0"/>
            </w:pPr>
            <w:r>
              <w:rPr>
                <w:rFonts w:ascii="Times New Roman" w:hAnsi="Times New Roman"/>
                <w:sz w:val="14"/>
              </w:rPr>
              <w:t>With a high hand = defiantly/presumptuously.</w:t>
            </w:r>
          </w:p>
        </w:tc>
      </w:tr>
      <w:tr>
        <w:tc>
          <w:tcPr>
            <w:tcW w:type="dxa" w:w="3561"/>
            <w:vAlign w:val="top"/>
          </w:tcPr>
          <w:p>
            <w:pPr>
              <w:spacing w:after="0"/>
            </w:pPr>
            <w:r>
              <w:rPr>
                <w:rFonts w:ascii="Times New Roman" w:hAnsi="Times New Roman"/>
                <w:sz w:val="14"/>
              </w:rPr>
              <w:t>Num. 15:31</w:t>
            </w:r>
          </w:p>
        </w:tc>
        <w:tc>
          <w:tcPr>
            <w:tcW w:type="dxa" w:w="3561"/>
            <w:vAlign w:val="top"/>
          </w:tcPr>
          <w:p>
            <w:pPr>
              <w:spacing w:after="0"/>
            </w:pPr>
            <w:r>
              <w:rPr>
                <w:rFonts w:ascii="Times New Roman" w:hAnsi="Times New Roman"/>
                <w:sz w:val="14"/>
              </w:rPr>
              <w:t>bazah</w:t>
            </w:r>
          </w:p>
        </w:tc>
        <w:tc>
          <w:tcPr>
            <w:tcW w:type="dxa" w:w="3561"/>
            <w:vAlign w:val="top"/>
          </w:tcPr>
          <w:p>
            <w:pPr>
              <w:spacing w:after="0"/>
            </w:pPr>
            <w:r>
              <w:rPr>
                <w:rFonts w:ascii="Times New Roman" w:hAnsi="Times New Roman"/>
                <w:sz w:val="14"/>
              </w:rPr>
              <w:t>Despise/disesteem Yahweh’s word.</w:t>
            </w:r>
          </w:p>
        </w:tc>
      </w:tr>
      <w:tr>
        <w:tc>
          <w:tcPr>
            <w:tcW w:type="dxa" w:w="3561"/>
            <w:vAlign w:val="top"/>
          </w:tcPr>
          <w:p>
            <w:pPr>
              <w:spacing w:after="0"/>
            </w:pPr>
            <w:r>
              <w:rPr>
                <w:rFonts w:ascii="Times New Roman" w:hAnsi="Times New Roman"/>
                <w:sz w:val="14"/>
              </w:rPr>
              <w:t>Num. 15:30–31</w:t>
            </w:r>
          </w:p>
        </w:tc>
        <w:tc>
          <w:tcPr>
            <w:tcW w:type="dxa" w:w="3561"/>
            <w:vAlign w:val="top"/>
          </w:tcPr>
          <w:p>
            <w:pPr>
              <w:spacing w:after="0"/>
            </w:pPr>
            <w:r>
              <w:rPr>
                <w:rFonts w:ascii="Times New Roman" w:hAnsi="Times New Roman"/>
                <w:sz w:val="14"/>
              </w:rPr>
              <w:t>cut off</w:t>
            </w:r>
          </w:p>
        </w:tc>
        <w:tc>
          <w:tcPr>
            <w:tcW w:type="dxa" w:w="3561"/>
            <w:vAlign w:val="top"/>
          </w:tcPr>
          <w:p>
            <w:pPr>
              <w:spacing w:after="0"/>
            </w:pPr>
            <w:r>
              <w:rPr>
                <w:rFonts w:ascii="Times New Roman" w:hAnsi="Times New Roman"/>
                <w:sz w:val="14"/>
              </w:rPr>
              <w:t>Do not reduce automatically to ecclesial excommunication.</w:t>
            </w:r>
          </w:p>
        </w:tc>
      </w:tr>
      <w:tr>
        <w:tc>
          <w:tcPr>
            <w:tcW w:type="dxa" w:w="3561"/>
            <w:vAlign w:val="top"/>
          </w:tcPr>
          <w:p>
            <w:pPr>
              <w:spacing w:after="0"/>
            </w:pPr>
            <w:r>
              <w:rPr>
                <w:rFonts w:ascii="Times New Roman" w:hAnsi="Times New Roman"/>
                <w:sz w:val="14"/>
              </w:rPr>
              <w:t>Ex. 31:14–15</w:t>
            </w:r>
          </w:p>
        </w:tc>
        <w:tc>
          <w:tcPr>
            <w:tcW w:type="dxa" w:w="3561"/>
            <w:vAlign w:val="top"/>
          </w:tcPr>
          <w:p>
            <w:pPr>
              <w:spacing w:after="0"/>
            </w:pPr>
            <w:r>
              <w:rPr>
                <w:rFonts w:ascii="Times New Roman" w:hAnsi="Times New Roman"/>
                <w:sz w:val="14"/>
              </w:rPr>
              <w:t>Sabbath penalty already death</w:t>
            </w:r>
          </w:p>
        </w:tc>
        <w:tc>
          <w:tcPr>
            <w:tcW w:type="dxa" w:w="3561"/>
            <w:vAlign w:val="top"/>
          </w:tcPr>
          <w:p>
            <w:pPr>
              <w:spacing w:after="0"/>
            </w:pPr>
            <w:r>
              <w:rPr>
                <w:rFonts w:ascii="Times New Roman" w:hAnsi="Times New Roman"/>
                <w:sz w:val="14"/>
              </w:rPr>
              <w:t>Num. 15 determines the case/judicial implementation.</w:t>
            </w:r>
          </w:p>
        </w:tc>
      </w:tr>
      <w:tr>
        <w:tc>
          <w:tcPr>
            <w:tcW w:type="dxa" w:w="3561"/>
            <w:vAlign w:val="top"/>
          </w:tcPr>
          <w:p>
            <w:pPr>
              <w:spacing w:after="0"/>
            </w:pPr>
            <w:r>
              <w:rPr>
                <w:rFonts w:ascii="Times New Roman" w:hAnsi="Times New Roman"/>
                <w:sz w:val="14"/>
              </w:rPr>
              <w:t>Num. 15:38</w:t>
            </w:r>
          </w:p>
        </w:tc>
        <w:tc>
          <w:tcPr>
            <w:tcW w:type="dxa" w:w="3561"/>
            <w:vAlign w:val="top"/>
          </w:tcPr>
          <w:p>
            <w:pPr>
              <w:spacing w:after="0"/>
            </w:pPr>
            <w:r>
              <w:rPr>
                <w:rFonts w:ascii="Times New Roman" w:hAnsi="Times New Roman"/>
                <w:sz w:val="14"/>
              </w:rPr>
              <w:t>tzitzit</w:t>
            </w:r>
          </w:p>
        </w:tc>
        <w:tc>
          <w:tcPr>
            <w:tcW w:type="dxa" w:w="3561"/>
            <w:vAlign w:val="top"/>
          </w:tcPr>
          <w:p>
            <w:pPr>
              <w:spacing w:after="0"/>
            </w:pPr>
            <w:r>
              <w:rPr>
                <w:rFonts w:ascii="Times New Roman" w:hAnsi="Times New Roman"/>
                <w:sz w:val="14"/>
              </w:rPr>
              <w:t>Tassels/fringes.</w:t>
            </w:r>
          </w:p>
        </w:tc>
      </w:tr>
      <w:tr>
        <w:tc>
          <w:tcPr>
            <w:tcW w:type="dxa" w:w="3561"/>
            <w:vAlign w:val="top"/>
          </w:tcPr>
          <w:p>
            <w:pPr>
              <w:spacing w:after="0"/>
            </w:pPr>
            <w:r>
              <w:rPr>
                <w:rFonts w:ascii="Times New Roman" w:hAnsi="Times New Roman"/>
                <w:sz w:val="14"/>
              </w:rPr>
              <w:t>Num. 15:38</w:t>
            </w:r>
          </w:p>
        </w:tc>
        <w:tc>
          <w:tcPr>
            <w:tcW w:type="dxa" w:w="3561"/>
            <w:vAlign w:val="top"/>
          </w:tcPr>
          <w:p>
            <w:pPr>
              <w:spacing w:after="0"/>
            </w:pPr>
            <w:r>
              <w:rPr>
                <w:rFonts w:ascii="Times New Roman" w:hAnsi="Times New Roman"/>
                <w:sz w:val="14"/>
              </w:rPr>
              <w:t>kanaph</w:t>
            </w:r>
          </w:p>
        </w:tc>
        <w:tc>
          <w:tcPr>
            <w:tcW w:type="dxa" w:w="3561"/>
            <w:vAlign w:val="top"/>
          </w:tcPr>
          <w:p>
            <w:pPr>
              <w:spacing w:after="0"/>
            </w:pPr>
            <w:r>
              <w:rPr>
                <w:rFonts w:ascii="Times New Roman" w:hAnsi="Times New Roman"/>
                <w:sz w:val="14"/>
              </w:rPr>
              <w:t>Corner/edge of garment.</w:t>
            </w:r>
          </w:p>
        </w:tc>
      </w:tr>
      <w:tr>
        <w:tc>
          <w:tcPr>
            <w:tcW w:type="dxa" w:w="3561"/>
            <w:vAlign w:val="top"/>
          </w:tcPr>
          <w:p>
            <w:pPr>
              <w:spacing w:after="0"/>
            </w:pPr>
            <w:r>
              <w:rPr>
                <w:rFonts w:ascii="Times New Roman" w:hAnsi="Times New Roman"/>
                <w:sz w:val="14"/>
              </w:rPr>
              <w:t>Num. 15:38</w:t>
            </w:r>
          </w:p>
        </w:tc>
        <w:tc>
          <w:tcPr>
            <w:tcW w:type="dxa" w:w="3561"/>
            <w:vAlign w:val="top"/>
          </w:tcPr>
          <w:p>
            <w:pPr>
              <w:spacing w:after="0"/>
            </w:pPr>
            <w:r>
              <w:rPr>
                <w:rFonts w:ascii="Times New Roman" w:hAnsi="Times New Roman"/>
                <w:sz w:val="14"/>
              </w:rPr>
              <w:t>petil tekhelet</w:t>
            </w:r>
          </w:p>
        </w:tc>
        <w:tc>
          <w:tcPr>
            <w:tcW w:type="dxa" w:w="3561"/>
            <w:vAlign w:val="top"/>
          </w:tcPr>
          <w:p>
            <w:pPr>
              <w:spacing w:after="0"/>
            </w:pPr>
            <w:r>
              <w:rPr>
                <w:rFonts w:ascii="Times New Roman" w:hAnsi="Times New Roman"/>
                <w:sz w:val="14"/>
              </w:rPr>
              <w:t>Cord/thread of blue or blue-purple dye.</w:t>
            </w:r>
          </w:p>
        </w:tc>
      </w:tr>
      <w:tr>
        <w:tc>
          <w:tcPr>
            <w:tcW w:type="dxa" w:w="3561"/>
            <w:vAlign w:val="top"/>
          </w:tcPr>
          <w:p>
            <w:pPr>
              <w:spacing w:after="0"/>
            </w:pPr>
            <w:r>
              <w:rPr>
                <w:rFonts w:ascii="Times New Roman" w:hAnsi="Times New Roman"/>
                <w:sz w:val="14"/>
              </w:rPr>
              <w:t>Num. 15:39</w:t>
            </w:r>
          </w:p>
        </w:tc>
        <w:tc>
          <w:tcPr>
            <w:tcW w:type="dxa" w:w="3561"/>
            <w:vAlign w:val="top"/>
          </w:tcPr>
          <w:p>
            <w:pPr>
              <w:spacing w:after="0"/>
            </w:pPr>
            <w:r>
              <w:rPr>
                <w:rFonts w:ascii="Times New Roman" w:hAnsi="Times New Roman"/>
                <w:sz w:val="14"/>
              </w:rPr>
              <w:t>taturu / tur</w:t>
            </w:r>
          </w:p>
        </w:tc>
        <w:tc>
          <w:tcPr>
            <w:tcW w:type="dxa" w:w="3561"/>
            <w:vAlign w:val="top"/>
          </w:tcPr>
          <w:p>
            <w:pPr>
              <w:spacing w:after="0"/>
            </w:pPr>
            <w:r>
              <w:rPr>
                <w:rFonts w:ascii="Times New Roman" w:hAnsi="Times New Roman"/>
                <w:sz w:val="14"/>
              </w:rPr>
              <w:t>Same search/explore root used in spy narrative.</w:t>
            </w:r>
          </w:p>
        </w:tc>
      </w:tr>
      <w:tr>
        <w:tc>
          <w:tcPr>
            <w:tcW w:type="dxa" w:w="3561"/>
            <w:vAlign w:val="top"/>
          </w:tcPr>
          <w:p>
            <w:pPr>
              <w:spacing w:after="0"/>
            </w:pPr>
            <w:r>
              <w:rPr>
                <w:rFonts w:ascii="Times New Roman" w:hAnsi="Times New Roman"/>
                <w:sz w:val="14"/>
              </w:rPr>
              <w:t>Num. 15:41</w:t>
            </w:r>
          </w:p>
        </w:tc>
        <w:tc>
          <w:tcPr>
            <w:tcW w:type="dxa" w:w="3561"/>
            <w:vAlign w:val="top"/>
          </w:tcPr>
          <w:p>
            <w:pPr>
              <w:spacing w:after="0"/>
            </w:pPr>
            <w:r>
              <w:rPr>
                <w:rFonts w:ascii="Times New Roman" w:hAnsi="Times New Roman"/>
                <w:sz w:val="14"/>
              </w:rPr>
              <w:t>Exodus redemption formula</w:t>
            </w:r>
          </w:p>
        </w:tc>
        <w:tc>
          <w:tcPr>
            <w:tcW w:type="dxa" w:w="3561"/>
            <w:vAlign w:val="top"/>
          </w:tcPr>
          <w:p>
            <w:pPr>
              <w:spacing w:after="0"/>
            </w:pPr>
            <w:r>
              <w:rPr>
                <w:rFonts w:ascii="Times New Roman" w:hAnsi="Times New Roman"/>
                <w:sz w:val="14"/>
              </w:rPr>
              <w:t>Obedience grounded in Yahweh’s redeeming ownership.</w:t>
            </w:r>
          </w:p>
        </w:tc>
      </w:tr>
    </w:tbl>
    <w:p>
      <w:pPr>
        <w:pStyle w:val="Heading1"/>
      </w:pPr>
      <w:r>
        <w:t>RESIDUAL UNCERTAINTIES</w:t>
      </w:r>
    </w:p>
    <w:p>
      <w:pPr/>
      <w:r>
        <w:rPr>
          <w:i w:val="0"/>
        </w:rPr>
        <w:t>The precise meaning of ‘arisah and the ancient shade/material of tekhelet remain debated. The legal scope of “cut off” varies across Pentateuchal contexts. Mansfield’s omission/commission distinction and his etymology for the fringes are corrected because the text does not support them as stated.</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NUMBERS 15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2" w:after="14"/>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4" w:after="14"/>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