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16</w:t>
      </w:r>
    </w:p>
    <w:p>
      <w:pPr>
        <w:pStyle w:val="Subtitle"/>
      </w:pPr>
      <w:r>
        <w:t>KORAH, DATHAN AND ABIRAM • HOLINESS DOES NOT ABOLISH APPOINTED OFFICE • CENSERS BEFORE YAHWEH • EARTH AND FIRE JUDGMENT • BRONZE CENSERS AS MEMORIAL • AARON BETWEEN THE DEAD AND THE LIVING</w:t>
      </w:r>
    </w:p>
    <w:p>
      <w:pPr/>
      <w:r>
        <w:rPr>
          <w:i/>
        </w:rPr>
        <w:t>H. P. Mansfield Bible notes — checked and arranged in verse-by-verse Expositor style</w:t>
      </w:r>
    </w:p>
    <w:p>
      <w:pPr/>
      <w:r>
        <w:rPr>
          <w:i w:val="0"/>
        </w:rPr>
        <w:t>Source: HPB 03-Lev12-Num36.PDF, pp. 63–65; cross-checked with Mansfield’s Numbers Expositor Chapter 16.</w:t>
      </w:r>
    </w:p>
    <w:p>
      <w:pPr>
        <w:pStyle w:val="Heading1"/>
      </w:pPr>
      <w:r>
        <w:t>CHAPTER OVERVIEW</w:t>
      </w:r>
    </w:p>
    <w:p>
      <w:pPr/>
      <w:r>
        <w:rPr>
          <w:i w:val="0"/>
        </w:rPr>
        <w:t>Numbers 16 records a combined challenge to Yahweh’s appointments. Korah, a Kohathite Levite, joins Dathan and Abiram of Reuben and 250 recognised leaders. Their slogan appeals to the true holiness of the whole congregation in order to deny offices Yahweh has specifically assigned.</w:t>
      </w:r>
    </w:p>
    <w:p>
      <w:pPr/>
      <w:r>
        <w:rPr>
          <w:i w:val="0"/>
        </w:rPr>
        <w:t>The chapter is textually complex in the details of Korah’s company and death. Mansfield supplies a detailed reconstruction, but the biblical text leaves several points less definite; those uncertainties are preserved rather than silently harmonised.</w:t>
      </w:r>
    </w:p>
    <w:p>
      <w:pPr>
        <w:pStyle w:val="Heading1"/>
      </w:pPr>
      <w:r>
        <w:t>THE REVOLT — NUMBERS 16:1–3</w:t>
      </w:r>
    </w:p>
    <w:p>
      <w:pPr>
        <w:pStyle w:val="Heading2"/>
      </w:pPr>
      <w:r>
        <w:t>Numbers 16:1 — a difficult opening</w:t>
      </w:r>
    </w:p>
    <w:p>
      <w:pPr/>
      <w:r>
        <w:rPr>
          <w:i w:val="0"/>
        </w:rPr>
        <w:t>The Hebrew begins “And Korah … took,” with the object/sense compressed; KJV supplies “men.” Korah joins Dathan and Abiram, and On is named here though he disappears from the remainder of the narrative.</w:t>
      </w:r>
    </w:p>
    <w:p>
      <w:pPr/>
      <w:r>
        <w:rPr>
          <w:i w:val="0"/>
        </w:rPr>
        <w:t>The chapter does not explain On’s later absence.</w:t>
      </w:r>
    </w:p>
    <w:p>
      <w:pPr>
        <w:pStyle w:val="Heading2"/>
      </w:pPr>
      <w:r>
        <w:t>Numbers 16:2 — 250 recognised leaders</w:t>
      </w:r>
    </w:p>
    <w:p>
      <w:pPr/>
      <w:r>
        <w:rPr>
          <w:i w:val="0"/>
        </w:rPr>
        <w:t>The 250 are nesi’ei edah, leaders/princes of the congregation, qeri’ei mo‘ed, men called/appointed to the assembly, and anshei shem, men of name/renown.</w:t>
      </w:r>
    </w:p>
    <w:p>
      <w:pPr/>
      <w:r>
        <w:rPr>
          <w:i w:val="0"/>
        </w:rPr>
        <w:t>The text does not explicitly say all 250 were Levites. Mansfield repeatedly calls them “250 Levites”; that is possible for some supporters but is not established for the whole group.</w:t>
      </w:r>
    </w:p>
    <w:p>
      <w:pPr>
        <w:pStyle w:val="Heading2"/>
      </w:pPr>
      <w:r>
        <w:t>Numbers 16:3 — a true premise used against Yahweh’s order</w:t>
      </w:r>
    </w:p>
    <w:p>
      <w:pPr/>
      <w:r>
        <w:rPr>
          <w:i w:val="0"/>
        </w:rPr>
        <w:t>They accuse Moses and Aaron of taking too much because “all the congregation are holy.” Exodus 19:6 indeed calls Israel a holy nation.</w:t>
      </w:r>
    </w:p>
    <w:p>
      <w:pPr/>
      <w:r>
        <w:rPr>
          <w:i w:val="0"/>
        </w:rPr>
        <w:t>But corporate holiness does not erase the separate priesthood and Levitical offices Yahweh has appointed.</w:t>
      </w:r>
    </w:p>
    <w:p>
      <w:pPr>
        <w:pStyle w:val="Heading1"/>
      </w:pPr>
      <w:r>
        <w:t>THE CENSER TEST — NUMBERS 16:4–11</w:t>
      </w:r>
    </w:p>
    <w:p>
      <w:pPr>
        <w:pStyle w:val="Heading2"/>
      </w:pPr>
      <w:r>
        <w:t>Numbers 16:4–7 — Yahweh will show whom He chooses</w:t>
      </w:r>
    </w:p>
    <w:p>
      <w:pPr/>
      <w:r>
        <w:rPr>
          <w:i w:val="0"/>
        </w:rPr>
        <w:t>Moses falls on his face and directs Korah and his company to bring firepans/censers with incense. Yahweh Himself will reveal who is holy in the sense of appointed priestly approach.</w:t>
      </w:r>
    </w:p>
    <w:p>
      <w:pPr/>
      <w:r>
        <w:rPr>
          <w:i w:val="0"/>
        </w:rPr>
        <w:t>Offering incense is specifically priestly work; the test therefore places the claim directly before Yahweh.</w:t>
      </w:r>
    </w:p>
    <w:p>
      <w:pPr>
        <w:pStyle w:val="Heading2"/>
      </w:pPr>
      <w:r>
        <w:t>Numbers 16:8–10 — “seemeth it but a small thing?”</w:t>
      </w:r>
    </w:p>
    <w:p>
      <w:pPr/>
      <w:r>
        <w:rPr>
          <w:i w:val="0"/>
        </w:rPr>
        <w:t>Moses reminds Korah and his Levite brethren that Yahweh has already separated Levi for tabernacle service and brought them near in that capacity.</w:t>
      </w:r>
    </w:p>
    <w:p>
      <w:pPr/>
      <w:r>
        <w:rPr>
          <w:i w:val="0"/>
        </w:rPr>
        <w:t>Discontent treats a real Divine privilege as trivial because another office is desired.</w:t>
      </w:r>
    </w:p>
    <w:p>
      <w:pPr>
        <w:pStyle w:val="Heading2"/>
      </w:pPr>
      <w:r>
        <w:t>Numbers 16:11 — murmuring against Aaron is against Yahweh</w:t>
      </w:r>
    </w:p>
    <w:p>
      <w:pPr/>
      <w:r>
        <w:rPr>
          <w:i w:val="0"/>
        </w:rPr>
        <w:t>Since Aaron’s priesthood is Yahweh’s appointment, the rebellion is ultimately against Yahweh rather than merely against Aaron’s personality.</w:t>
      </w:r>
    </w:p>
    <w:p>
      <w:pPr>
        <w:pStyle w:val="Heading1"/>
      </w:pPr>
      <w:r>
        <w:t>DATHAN AND ABIRAM — NUMBERS 16:12–15</w:t>
      </w:r>
    </w:p>
    <w:p>
      <w:pPr>
        <w:pStyle w:val="Heading2"/>
      </w:pPr>
      <w:r>
        <w:t>Numbers 16:12–14 — Egypt sarcastically becomes “milk and honey”</w:t>
      </w:r>
    </w:p>
    <w:p>
      <w:pPr/>
      <w:r>
        <w:rPr>
          <w:i w:val="0"/>
        </w:rPr>
        <w:t>Dathan and Abiram refuse Moses’ summons and accuse him of bringing Israel out of a land “flowing with milk and honey” only to kill them in the wilderness.</w:t>
      </w:r>
    </w:p>
    <w:p>
      <w:pPr/>
      <w:r>
        <w:rPr>
          <w:i w:val="0"/>
        </w:rPr>
        <w:t>The language deliberately reverses the Exodus promise: bondage is idealised while the failed entry into Canaan is blamed on Moses.</w:t>
      </w:r>
    </w:p>
    <w:p>
      <w:pPr>
        <w:pStyle w:val="Heading2"/>
      </w:pPr>
      <w:r>
        <w:t>Numbers 16:15 — Moses appeals to integrity</w:t>
      </w:r>
    </w:p>
    <w:p>
      <w:pPr/>
      <w:r>
        <w:rPr>
          <w:i w:val="0"/>
        </w:rPr>
        <w:t>Moses declares that he has not taken one donkey from them nor harmed one of them, rejecting the charge of self-serving rule.</w:t>
      </w:r>
    </w:p>
    <w:p>
      <w:pPr>
        <w:pStyle w:val="Heading1"/>
      </w:pPr>
      <w:r>
        <w:t>THE CONFRONTATION — NUMBERS 16:16–24</w:t>
      </w:r>
    </w:p>
    <w:p>
      <w:pPr>
        <w:pStyle w:val="Heading2"/>
      </w:pPr>
      <w:r>
        <w:t>Numbers 16:16–19 — censers and the gathered congregation</w:t>
      </w:r>
    </w:p>
    <w:p>
      <w:pPr/>
      <w:r>
        <w:rPr>
          <w:i w:val="0"/>
        </w:rPr>
        <w:t>Korah and the 250 stand with censers at the Tent while Aaron also presents his censer. Korah gathers the congregation and Yahweh’s glory appears.</w:t>
      </w:r>
    </w:p>
    <w:p>
      <w:pPr/>
      <w:r>
        <w:rPr>
          <w:i w:val="0"/>
        </w:rPr>
        <w:t>Mansfield’s claim that Korah had manufactured censers in preparation for a priestly takeover is imaginative but unstated.</w:t>
      </w:r>
    </w:p>
    <w:p>
      <w:pPr>
        <w:pStyle w:val="Heading2"/>
      </w:pPr>
      <w:r>
        <w:t>Numbers 16:20–22 — Moses and Aaron intercede</w:t>
      </w:r>
    </w:p>
    <w:p>
      <w:pPr/>
      <w:r>
        <w:rPr>
          <w:i w:val="0"/>
        </w:rPr>
        <w:t>Yahweh commands separation from the congregation; Moses and Aaron fall down and ask whether the whole congregation should suffer for the sin of one man.</w:t>
      </w:r>
    </w:p>
    <w:p>
      <w:pPr/>
      <w:r>
        <w:rPr>
          <w:i w:val="0"/>
        </w:rPr>
        <w:t>The phrase may focus on Korah as instigator, but the chapter also shows wider willing participation, so responsibility is not reduced to one innocent crowd misled without choice.</w:t>
      </w:r>
    </w:p>
    <w:p>
      <w:pPr>
        <w:pStyle w:val="Heading2"/>
      </w:pPr>
      <w:r>
        <w:t>Numbers 16:23–24 — depart from the rebels’ dwellings</w:t>
      </w:r>
    </w:p>
    <w:p>
      <w:pPr/>
      <w:r>
        <w:rPr>
          <w:i w:val="0"/>
        </w:rPr>
        <w:t>The congregation is told to get away from the dwelling/tents associated with Korah, Dathan and Abiram.</w:t>
      </w:r>
    </w:p>
    <w:p>
      <w:pPr/>
      <w:r>
        <w:rPr>
          <w:i w:val="0"/>
        </w:rPr>
        <w:t>Mansfield reconstructs one large common revolutionary headquarters tent and its exact location beside Reuben. The Hebrew permits association of their dwellings but does not supply that detailed architectural scenario.</w:t>
      </w:r>
    </w:p>
    <w:p>
      <w:pPr>
        <w:pStyle w:val="Heading1"/>
      </w:pPr>
      <w:r>
        <w:t>EARTH AND FIRE JUDGMENT — NUMBERS 16:25–35</w:t>
      </w:r>
    </w:p>
    <w:p>
      <w:pPr>
        <w:pStyle w:val="Heading2"/>
      </w:pPr>
      <w:r>
        <w:t>Numbers 16:25–30 — a “new thing” as authentication</w:t>
      </w:r>
    </w:p>
    <w:p>
      <w:pPr/>
      <w:r>
        <w:rPr>
          <w:i w:val="0"/>
        </w:rPr>
        <w:t>Moses goes to Dathan and Abiram with Israel’s elders and warns the people to depart. He declares that if the earth opens and the rebels go alive into Sheol, Israel will know that these men have despised Yahweh.</w:t>
      </w:r>
    </w:p>
    <w:p>
      <w:pPr/>
      <w:r>
        <w:rPr>
          <w:i w:val="0"/>
        </w:rPr>
        <w:t>Sheol here is the pit/grave realm into which living people descend to die; it is not a place of conscious immortal torment.</w:t>
      </w:r>
    </w:p>
    <w:p>
      <w:pPr>
        <w:pStyle w:val="Heading2"/>
      </w:pPr>
      <w:r>
        <w:t>Numbers 16:31–34 — earth swallows the rebel households</w:t>
      </w:r>
    </w:p>
    <w:p>
      <w:pPr/>
      <w:r>
        <w:rPr>
          <w:i w:val="0"/>
        </w:rPr>
        <w:t>The ground splits and swallows the rebels, their households and those associated with Korah at that location, and the earth closes over them.</w:t>
      </w:r>
    </w:p>
    <w:p>
      <w:pPr/>
      <w:r>
        <w:rPr>
          <w:i w:val="0"/>
        </w:rPr>
        <w:t>Numbers 26:11 later explicitly says “the children of Korah died not,” so the judgment did not erase Korah’s whole family line.</w:t>
      </w:r>
    </w:p>
    <w:p>
      <w:pPr>
        <w:pStyle w:val="Heading2"/>
      </w:pPr>
      <w:r>
        <w:t>Numbers 16:35 — fire consumes the 250 incense offerers</w:t>
      </w:r>
    </w:p>
    <w:p>
      <w:pPr/>
      <w:r>
        <w:rPr>
          <w:i w:val="0"/>
        </w:rPr>
        <w:t>Fire from Yahweh consumes the 250 men offering incense.</w:t>
      </w:r>
    </w:p>
    <w:p>
      <w:pPr/>
      <w:r>
        <w:rPr>
          <w:i w:val="0"/>
        </w:rPr>
        <w:t>Korah’s own precise mode of death is not entirely clear across Numbers 16, Numbers 26:10–11 and Psalm 106:17–18. Mansfield confidently assigns Korah to the fire rather than the earthquake, but the evidence is sufficiently ambiguous that the final wording should remain cautious.</w:t>
      </w:r>
    </w:p>
    <w:p>
      <w:pPr>
        <w:pStyle w:val="Heading1"/>
      </w:pPr>
      <w:r>
        <w:t>THE CENSERS AS MEMORIAL — NUMBERS 16:36–40</w:t>
      </w:r>
    </w:p>
    <w:p>
      <w:pPr>
        <w:pStyle w:val="Heading2"/>
      </w:pPr>
      <w:r>
        <w:t>Numbers 16:36–38 — holy censers recovered</w:t>
      </w:r>
    </w:p>
    <w:p>
      <w:pPr/>
      <w:r>
        <w:rPr>
          <w:i w:val="0"/>
        </w:rPr>
        <w:t>Eleazar is told to remove the bronze censers from the burning and scatter the fire because the censers have become holy through presentation before Yahweh.</w:t>
      </w:r>
    </w:p>
    <w:p>
      <w:pPr/>
      <w:r>
        <w:rPr>
          <w:i w:val="0"/>
        </w:rPr>
        <w:t>They are hammered into plating/covering for the altar.</w:t>
      </w:r>
    </w:p>
    <w:p>
      <w:pPr>
        <w:pStyle w:val="Heading2"/>
      </w:pPr>
      <w:r>
        <w:t>Numbers 16:39–40 — rebellion becomes a warning</w:t>
      </w:r>
    </w:p>
    <w:p>
      <w:pPr/>
      <w:r>
        <w:rPr>
          <w:i w:val="0"/>
        </w:rPr>
        <w:t>The bronze covering becomes a memorial that no zar, unauthorised outsider not of Aaron’s seed, may approach to burn incense before Yahweh.</w:t>
      </w:r>
    </w:p>
    <w:p>
      <w:pPr/>
      <w:r>
        <w:rPr>
          <w:i w:val="0"/>
        </w:rPr>
        <w:t>What rebellion tried to seize is converted into permanent instruction protecting the appointed priesthood.</w:t>
      </w:r>
    </w:p>
    <w:p>
      <w:pPr>
        <w:pStyle w:val="Heading1"/>
      </w:pPr>
      <w:r>
        <w:t>THE NEXT DAY — NUMBERS 16:41–50</w:t>
      </w:r>
    </w:p>
    <w:p>
      <w:pPr>
        <w:pStyle w:val="Heading2"/>
      </w:pPr>
      <w:r>
        <w:t>Numbers 16:41–45 — astonishing renewed murmuring</w:t>
      </w:r>
    </w:p>
    <w:p>
      <w:pPr/>
      <w:r>
        <w:rPr>
          <w:i w:val="0"/>
        </w:rPr>
        <w:t>The next day the congregation accuses Moses and Aaron, “Ye have killed the people of Yahweh.” Yahweh’s glory appears and a plague begins.</w:t>
      </w:r>
    </w:p>
    <w:p>
      <w:pPr/>
      <w:r>
        <w:rPr>
          <w:i w:val="0"/>
        </w:rPr>
        <w:t>The accusation ignores that the judgments came directly after explicit Divine warning and separation.</w:t>
      </w:r>
    </w:p>
    <w:p>
      <w:pPr>
        <w:pStyle w:val="Heading2"/>
      </w:pPr>
      <w:r>
        <w:t>Numbers 16:46–48 — Aaron runs with incense</w:t>
      </w:r>
    </w:p>
    <w:p>
      <w:pPr/>
      <w:r>
        <w:rPr>
          <w:i w:val="0"/>
        </w:rPr>
        <w:t>Moses tells Aaron to take his censer, altar fire and incense and make atonement because wrath has gone out. Aaron runs into the congregation and stands “between the dead and the living,” and the plague is stayed.</w:t>
      </w:r>
    </w:p>
    <w:p>
      <w:pPr/>
      <w:r>
        <w:rPr>
          <w:i w:val="0"/>
        </w:rPr>
        <w:t>The priesthood rejected in the rebellion becomes the means by which the surviving people are preserved.</w:t>
      </w:r>
    </w:p>
    <w:p>
      <w:pPr>
        <w:pStyle w:val="Heading2"/>
      </w:pPr>
      <w:r>
        <w:t>Numbers 16:49–50 — 14,700 die</w:t>
      </w:r>
    </w:p>
    <w:p>
      <w:pPr/>
      <w:r>
        <w:rPr>
          <w:i w:val="0"/>
        </w:rPr>
        <w:t>Fourteen thousand seven hundred die in the plague, besides those who died in the matter of Korah. Aaron returns to Moses after the plague is stopped.</w:t>
      </w:r>
    </w:p>
    <w:p>
      <w:pPr>
        <w:pStyle w:val="Heading1"/>
      </w:pPr>
      <w:r>
        <w:t>NEW TESTAMENT WARNING</w:t>
      </w:r>
    </w:p>
    <w:p>
      <w:pPr>
        <w:pStyle w:val="Heading2"/>
      </w:pPr>
      <w:r>
        <w:t>Jude 11 — “the gainsaying of Core”</w:t>
      </w:r>
    </w:p>
    <w:p>
      <w:pPr/>
      <w:r>
        <w:rPr>
          <w:i w:val="0"/>
        </w:rPr>
        <w:t>Jude explicitly invokes Korah’s rebellion as a warning about oppositional presumption.</w:t>
      </w:r>
    </w:p>
    <w:p>
      <w:pPr/>
      <w:r>
        <w:rPr>
          <w:i w:val="0"/>
        </w:rPr>
        <w:t>Mansfield also identifies the “angels that sinned” of 2 Peter 2:4 and Jude 6 specifically with Korah’s leaders. That identification is not explicit in those passages and is omitted as factual interpretation.</w:t>
      </w:r>
    </w:p>
    <w:p>
      <w:pPr>
        <w:pStyle w:val="Heading1"/>
      </w:pPr>
      <w:r>
        <w:t>PRINCIPAL THEMES</w:t>
      </w:r>
    </w:p>
    <w:p>
      <w:pPr>
        <w:ind w:left="259" w:hanging="202"/>
      </w:pPr>
      <w:r>
        <w:rPr>
          <w:b/>
        </w:rPr>
        <w:t xml:space="preserve">• </w:t>
      </w:r>
      <w:r>
        <w:t>Corporate holiness does not abolish roles specifically appointed by Yahweh.</w:t>
      </w:r>
    </w:p>
    <w:p>
      <w:pPr>
        <w:ind w:left="259" w:hanging="202"/>
      </w:pPr>
      <w:r>
        <w:rPr>
          <w:b/>
        </w:rPr>
        <w:t xml:space="preserve">• </w:t>
      </w:r>
      <w:r>
        <w:t>The 250 are prominent assembly leaders, but Numbers does not explicitly identify all of them as Levites.</w:t>
      </w:r>
    </w:p>
    <w:p>
      <w:pPr>
        <w:ind w:left="259" w:hanging="202"/>
      </w:pPr>
      <w:r>
        <w:rPr>
          <w:b/>
        </w:rPr>
        <w:t xml:space="preserve">• </w:t>
      </w:r>
      <w:r>
        <w:t>Egypt is rhetorically idealised by Dathan and Abiram while Yahweh’s redemption is blamed.</w:t>
      </w:r>
    </w:p>
    <w:p>
      <w:pPr>
        <w:ind w:left="259" w:hanging="202"/>
      </w:pPr>
      <w:r>
        <w:rPr>
          <w:b/>
        </w:rPr>
        <w:t xml:space="preserve">• </w:t>
      </w:r>
      <w:r>
        <w:t>Moses’ and Aaron’s authority is vindicated by Yahweh rather than defended by personal force.</w:t>
      </w:r>
    </w:p>
    <w:p>
      <w:pPr>
        <w:ind w:left="259" w:hanging="202"/>
      </w:pPr>
      <w:r>
        <w:rPr>
          <w:b/>
        </w:rPr>
        <w:t xml:space="preserve">• </w:t>
      </w:r>
      <w:r>
        <w:t>Mansfield’s detailed ‘revolutionary headquarters tent’ reconstruction goes beyond the text.</w:t>
      </w:r>
    </w:p>
    <w:p>
      <w:pPr>
        <w:ind w:left="259" w:hanging="202"/>
      </w:pPr>
      <w:r>
        <w:rPr>
          <w:b/>
        </w:rPr>
        <w:t xml:space="preserve">• </w:t>
      </w:r>
      <w:r>
        <w:t>Sheol in the earth-opening judgment is the grave/pit realm, not immortal conscious hell.</w:t>
      </w:r>
    </w:p>
    <w:p>
      <w:pPr>
        <w:ind w:left="259" w:hanging="202"/>
      </w:pPr>
      <w:r>
        <w:rPr>
          <w:b/>
        </w:rPr>
        <w:t xml:space="preserve">• </w:t>
      </w:r>
      <w:r>
        <w:t>Numbers 26:11 explicitly preserves the sons of Korah.</w:t>
      </w:r>
    </w:p>
    <w:p>
      <w:pPr>
        <w:ind w:left="259" w:hanging="202"/>
      </w:pPr>
      <w:r>
        <w:rPr>
          <w:b/>
        </w:rPr>
        <w:t xml:space="preserve">• </w:t>
      </w:r>
      <w:r>
        <w:t>Korah’s exact manner of death is less certain than Mansfield presents.</w:t>
      </w:r>
    </w:p>
    <w:p>
      <w:pPr>
        <w:ind w:left="259" w:hanging="202"/>
      </w:pPr>
      <w:r>
        <w:rPr>
          <w:b/>
        </w:rPr>
        <w:t xml:space="preserve">• </w:t>
      </w:r>
      <w:r>
        <w:t>The bronze censers become a permanent altar memorial against unauthorised priestly intrusion.</w:t>
      </w:r>
    </w:p>
    <w:p>
      <w:pPr>
        <w:ind w:left="259" w:hanging="202"/>
      </w:pPr>
      <w:r>
        <w:rPr>
          <w:b/>
        </w:rPr>
        <w:t xml:space="preserve">• </w:t>
      </w:r>
      <w:r>
        <w:t>Aaron’s priestly intercession stands between dead and living and stops the plague.</w:t>
      </w:r>
    </w:p>
    <w:p>
      <w:pPr>
        <w:ind w:left="259" w:hanging="202"/>
      </w:pPr>
      <w:r>
        <w:rPr>
          <w:b/>
        </w:rPr>
        <w:t xml:space="preserve">• </w:t>
      </w:r>
      <w:r>
        <w:t>Jude 11 explicitly uses Korah; 2 Peter 2:4/Jude 6 do not explicitly identify their sinful angels with Korah’s leaders.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pPr>
              <w:spacing w:after="0" w:line="211" w:lineRule="auto"/>
            </w:pPr>
            <w:r>
              <w:rPr>
                <w:rFonts w:ascii="Arial" w:hAnsi="Arial"/>
                <w:b/>
                <w:sz w:val="12"/>
              </w:rPr>
              <w:t>Location</w:t>
            </w:r>
          </w:p>
        </w:tc>
        <w:tc>
          <w:tcPr>
            <w:tcW w:type="dxa" w:w="3561"/>
          </w:tcPr>
          <w:p>
            <w:pPr>
              <w:spacing w:after="0" w:line="211" w:lineRule="auto"/>
            </w:pPr>
            <w:r>
              <w:rPr>
                <w:rFonts w:ascii="Arial" w:hAnsi="Arial"/>
                <w:b/>
                <w:sz w:val="12"/>
              </w:rPr>
              <w:t>Checked / corrected reading</w:t>
            </w:r>
          </w:p>
        </w:tc>
        <w:tc>
          <w:tcPr>
            <w:tcW w:type="dxa" w:w="3561"/>
          </w:tcPr>
          <w:p>
            <w:pPr>
              <w:spacing w:after="0" w:line="211" w:lineRule="auto"/>
            </w:pPr>
            <w:r>
              <w:rPr>
                <w:rFonts w:ascii="Arial" w:hAnsi="Arial"/>
                <w:b/>
                <w:sz w:val="12"/>
              </w:rPr>
              <w:t>Basis</w:t>
            </w:r>
          </w:p>
        </w:tc>
      </w:tr>
      <w:tr>
        <w:tc>
          <w:tcPr>
            <w:tcW w:type="dxa" w:w="3561"/>
            <w:vAlign w:val="top"/>
          </w:tcPr>
          <w:p>
            <w:pPr>
              <w:spacing w:after="0" w:line="211" w:lineRule="auto"/>
            </w:pPr>
            <w:r>
              <w:rPr>
                <w:rFonts w:ascii="Times New Roman" w:hAnsi="Times New Roman"/>
                <w:sz w:val="12"/>
              </w:rPr>
              <w:t>Num. 16:1</w:t>
            </w:r>
          </w:p>
        </w:tc>
        <w:tc>
          <w:tcPr>
            <w:tcW w:type="dxa" w:w="3561"/>
            <w:vAlign w:val="top"/>
          </w:tcPr>
          <w:p>
            <w:pPr>
              <w:spacing w:after="0" w:line="211" w:lineRule="auto"/>
            </w:pPr>
            <w:r>
              <w:rPr>
                <w:rFonts w:ascii="Times New Roman" w:hAnsi="Times New Roman"/>
                <w:sz w:val="12"/>
              </w:rPr>
              <w:t>“Korah … took”</w:t>
            </w:r>
          </w:p>
        </w:tc>
        <w:tc>
          <w:tcPr>
            <w:tcW w:type="dxa" w:w="3561"/>
            <w:vAlign w:val="top"/>
          </w:tcPr>
          <w:p>
            <w:pPr>
              <w:spacing w:after="0" w:line="211" w:lineRule="auto"/>
            </w:pPr>
            <w:r>
              <w:rPr>
                <w:rFonts w:ascii="Times New Roman" w:hAnsi="Times New Roman"/>
                <w:sz w:val="12"/>
              </w:rPr>
              <w:t>Compressed Hebrew opening; KJV supplies “men.”</w:t>
            </w:r>
          </w:p>
        </w:tc>
      </w:tr>
      <w:tr>
        <w:tc>
          <w:tcPr>
            <w:tcW w:type="dxa" w:w="3561"/>
            <w:vAlign w:val="top"/>
          </w:tcPr>
          <w:p>
            <w:pPr>
              <w:spacing w:after="0" w:line="211" w:lineRule="auto"/>
            </w:pPr>
            <w:r>
              <w:rPr>
                <w:rFonts w:ascii="Times New Roman" w:hAnsi="Times New Roman"/>
                <w:sz w:val="12"/>
              </w:rPr>
              <w:t>Num. 16:1</w:t>
            </w:r>
          </w:p>
        </w:tc>
        <w:tc>
          <w:tcPr>
            <w:tcW w:type="dxa" w:w="3561"/>
            <w:vAlign w:val="top"/>
          </w:tcPr>
          <w:p>
            <w:pPr>
              <w:spacing w:after="0" w:line="211" w:lineRule="auto"/>
            </w:pPr>
            <w:r>
              <w:rPr>
                <w:rFonts w:ascii="Times New Roman" w:hAnsi="Times New Roman"/>
                <w:sz w:val="12"/>
              </w:rPr>
              <w:t>On son of Peleth</w:t>
            </w:r>
          </w:p>
        </w:tc>
        <w:tc>
          <w:tcPr>
            <w:tcW w:type="dxa" w:w="3561"/>
            <w:vAlign w:val="top"/>
          </w:tcPr>
          <w:p>
            <w:pPr>
              <w:spacing w:after="0" w:line="211" w:lineRule="auto"/>
            </w:pPr>
            <w:r>
              <w:rPr>
                <w:rFonts w:ascii="Times New Roman" w:hAnsi="Times New Roman"/>
                <w:sz w:val="12"/>
              </w:rPr>
              <w:t>Named initially, absent thereafter; reason unstated.</w:t>
            </w:r>
          </w:p>
        </w:tc>
      </w:tr>
      <w:tr>
        <w:tc>
          <w:tcPr>
            <w:tcW w:type="dxa" w:w="3561"/>
            <w:vAlign w:val="top"/>
          </w:tcPr>
          <w:p>
            <w:pPr>
              <w:spacing w:after="0" w:line="211" w:lineRule="auto"/>
            </w:pPr>
            <w:r>
              <w:rPr>
                <w:rFonts w:ascii="Times New Roman" w:hAnsi="Times New Roman"/>
                <w:sz w:val="12"/>
              </w:rPr>
              <w:t>Num. 16:2</w:t>
            </w:r>
          </w:p>
        </w:tc>
        <w:tc>
          <w:tcPr>
            <w:tcW w:type="dxa" w:w="3561"/>
            <w:vAlign w:val="top"/>
          </w:tcPr>
          <w:p>
            <w:pPr>
              <w:spacing w:after="0" w:line="211" w:lineRule="auto"/>
            </w:pPr>
            <w:r>
              <w:rPr>
                <w:rFonts w:ascii="Times New Roman" w:hAnsi="Times New Roman"/>
                <w:sz w:val="12"/>
              </w:rPr>
              <w:t>qeri’ei mo‘ed / anshei shem</w:t>
            </w:r>
          </w:p>
        </w:tc>
        <w:tc>
          <w:tcPr>
            <w:tcW w:type="dxa" w:w="3561"/>
            <w:vAlign w:val="top"/>
          </w:tcPr>
          <w:p>
            <w:pPr>
              <w:spacing w:after="0" w:line="211" w:lineRule="auto"/>
            </w:pPr>
            <w:r>
              <w:rPr>
                <w:rFonts w:ascii="Times New Roman" w:hAnsi="Times New Roman"/>
                <w:sz w:val="12"/>
              </w:rPr>
              <w:t>Called/appointed assembly men / men of name-renown.</w:t>
            </w:r>
          </w:p>
        </w:tc>
      </w:tr>
      <w:tr>
        <w:tc>
          <w:tcPr>
            <w:tcW w:type="dxa" w:w="3561"/>
            <w:vAlign w:val="top"/>
          </w:tcPr>
          <w:p>
            <w:pPr>
              <w:spacing w:after="0" w:line="211" w:lineRule="auto"/>
            </w:pPr>
            <w:r>
              <w:rPr>
                <w:rFonts w:ascii="Times New Roman" w:hAnsi="Times New Roman"/>
                <w:sz w:val="12"/>
              </w:rPr>
              <w:t>Num. 16:2</w:t>
            </w:r>
          </w:p>
        </w:tc>
        <w:tc>
          <w:tcPr>
            <w:tcW w:type="dxa" w:w="3561"/>
            <w:vAlign w:val="top"/>
          </w:tcPr>
          <w:p>
            <w:pPr>
              <w:spacing w:after="0" w:line="211" w:lineRule="auto"/>
            </w:pPr>
            <w:r>
              <w:rPr>
                <w:rFonts w:ascii="Times New Roman" w:hAnsi="Times New Roman"/>
                <w:sz w:val="12"/>
              </w:rPr>
              <w:t>250 leaders</w:t>
            </w:r>
          </w:p>
        </w:tc>
        <w:tc>
          <w:tcPr>
            <w:tcW w:type="dxa" w:w="3561"/>
            <w:vAlign w:val="top"/>
          </w:tcPr>
          <w:p>
            <w:pPr>
              <w:spacing w:after="0" w:line="211" w:lineRule="auto"/>
            </w:pPr>
            <w:r>
              <w:rPr>
                <w:rFonts w:ascii="Times New Roman" w:hAnsi="Times New Roman"/>
                <w:sz w:val="12"/>
              </w:rPr>
              <w:t>Not explicitly all Levites.</w:t>
            </w:r>
          </w:p>
        </w:tc>
      </w:tr>
      <w:tr>
        <w:tc>
          <w:tcPr>
            <w:tcW w:type="dxa" w:w="3561"/>
            <w:vAlign w:val="top"/>
          </w:tcPr>
          <w:p>
            <w:pPr>
              <w:spacing w:after="0" w:line="211" w:lineRule="auto"/>
            </w:pPr>
            <w:r>
              <w:rPr>
                <w:rFonts w:ascii="Times New Roman" w:hAnsi="Times New Roman"/>
                <w:sz w:val="12"/>
              </w:rPr>
              <w:t>Num. 16:3</w:t>
            </w:r>
          </w:p>
        </w:tc>
        <w:tc>
          <w:tcPr>
            <w:tcW w:type="dxa" w:w="3561"/>
            <w:vAlign w:val="top"/>
          </w:tcPr>
          <w:p>
            <w:pPr>
              <w:spacing w:after="0" w:line="211" w:lineRule="auto"/>
            </w:pPr>
            <w:r>
              <w:rPr>
                <w:rFonts w:ascii="Times New Roman" w:hAnsi="Times New Roman"/>
                <w:sz w:val="12"/>
              </w:rPr>
              <w:t>all congregation holy</w:t>
            </w:r>
          </w:p>
        </w:tc>
        <w:tc>
          <w:tcPr>
            <w:tcW w:type="dxa" w:w="3561"/>
            <w:vAlign w:val="top"/>
          </w:tcPr>
          <w:p>
            <w:pPr>
              <w:spacing w:after="0" w:line="211" w:lineRule="auto"/>
            </w:pPr>
            <w:r>
              <w:rPr>
                <w:rFonts w:ascii="Times New Roman" w:hAnsi="Times New Roman"/>
                <w:sz w:val="12"/>
              </w:rPr>
              <w:t>True national premise misused to reject appointed offices.</w:t>
            </w:r>
          </w:p>
        </w:tc>
      </w:tr>
      <w:tr>
        <w:tc>
          <w:tcPr>
            <w:tcW w:type="dxa" w:w="3561"/>
            <w:vAlign w:val="top"/>
          </w:tcPr>
          <w:p>
            <w:pPr>
              <w:spacing w:after="0" w:line="211" w:lineRule="auto"/>
            </w:pPr>
            <w:r>
              <w:rPr>
                <w:rFonts w:ascii="Times New Roman" w:hAnsi="Times New Roman"/>
                <w:sz w:val="12"/>
              </w:rPr>
              <w:t>Num. 16:5–7</w:t>
            </w:r>
          </w:p>
        </w:tc>
        <w:tc>
          <w:tcPr>
            <w:tcW w:type="dxa" w:w="3561"/>
            <w:vAlign w:val="top"/>
          </w:tcPr>
          <w:p>
            <w:pPr>
              <w:spacing w:after="0" w:line="211" w:lineRule="auto"/>
            </w:pPr>
            <w:r>
              <w:rPr>
                <w:rFonts w:ascii="Times New Roman" w:hAnsi="Times New Roman"/>
                <w:sz w:val="12"/>
              </w:rPr>
              <w:t>censer test</w:t>
            </w:r>
          </w:p>
        </w:tc>
        <w:tc>
          <w:tcPr>
            <w:tcW w:type="dxa" w:w="3561"/>
            <w:vAlign w:val="top"/>
          </w:tcPr>
          <w:p>
            <w:pPr>
              <w:spacing w:after="0" w:line="211" w:lineRule="auto"/>
            </w:pPr>
            <w:r>
              <w:rPr>
                <w:rFonts w:ascii="Times New Roman" w:hAnsi="Times New Roman"/>
                <w:sz w:val="12"/>
              </w:rPr>
              <w:t>Yahweh chooses who may approach priestly service.</w:t>
            </w:r>
          </w:p>
        </w:tc>
      </w:tr>
      <w:tr>
        <w:tc>
          <w:tcPr>
            <w:tcW w:type="dxa" w:w="3561"/>
            <w:vAlign w:val="top"/>
          </w:tcPr>
          <w:p>
            <w:pPr>
              <w:spacing w:after="0" w:line="211" w:lineRule="auto"/>
            </w:pPr>
            <w:r>
              <w:rPr>
                <w:rFonts w:ascii="Times New Roman" w:hAnsi="Times New Roman"/>
                <w:sz w:val="12"/>
              </w:rPr>
              <w:t>Num. 16:9–10</w:t>
            </w:r>
          </w:p>
        </w:tc>
        <w:tc>
          <w:tcPr>
            <w:tcW w:type="dxa" w:w="3561"/>
            <w:vAlign w:val="top"/>
          </w:tcPr>
          <w:p>
            <w:pPr>
              <w:spacing w:after="0" w:line="211" w:lineRule="auto"/>
            </w:pPr>
            <w:r>
              <w:rPr>
                <w:rFonts w:ascii="Times New Roman" w:hAnsi="Times New Roman"/>
                <w:sz w:val="12"/>
              </w:rPr>
              <w:t>Levite privilege</w:t>
            </w:r>
          </w:p>
        </w:tc>
        <w:tc>
          <w:tcPr>
            <w:tcW w:type="dxa" w:w="3561"/>
            <w:vAlign w:val="top"/>
          </w:tcPr>
          <w:p>
            <w:pPr>
              <w:spacing w:after="0" w:line="211" w:lineRule="auto"/>
            </w:pPr>
            <w:r>
              <w:rPr>
                <w:rFonts w:ascii="Times New Roman" w:hAnsi="Times New Roman"/>
                <w:sz w:val="12"/>
              </w:rPr>
              <w:t>Korah’s Levitical nearness already real.</w:t>
            </w:r>
          </w:p>
        </w:tc>
      </w:tr>
      <w:tr>
        <w:tc>
          <w:tcPr>
            <w:tcW w:type="dxa" w:w="3561"/>
            <w:vAlign w:val="top"/>
          </w:tcPr>
          <w:p>
            <w:pPr>
              <w:spacing w:after="0" w:line="211" w:lineRule="auto"/>
            </w:pPr>
            <w:r>
              <w:rPr>
                <w:rFonts w:ascii="Times New Roman" w:hAnsi="Times New Roman"/>
                <w:sz w:val="12"/>
              </w:rPr>
              <w:t>Num. 16:12–14</w:t>
            </w:r>
          </w:p>
        </w:tc>
        <w:tc>
          <w:tcPr>
            <w:tcW w:type="dxa" w:w="3561"/>
            <w:vAlign w:val="top"/>
          </w:tcPr>
          <w:p>
            <w:pPr>
              <w:spacing w:after="0" w:line="211" w:lineRule="auto"/>
            </w:pPr>
            <w:r>
              <w:rPr>
                <w:rFonts w:ascii="Times New Roman" w:hAnsi="Times New Roman"/>
                <w:sz w:val="12"/>
              </w:rPr>
              <w:t>Egypt = milk and honey</w:t>
            </w:r>
          </w:p>
        </w:tc>
        <w:tc>
          <w:tcPr>
            <w:tcW w:type="dxa" w:w="3561"/>
            <w:vAlign w:val="top"/>
          </w:tcPr>
          <w:p>
            <w:pPr>
              <w:spacing w:after="0" w:line="211" w:lineRule="auto"/>
            </w:pPr>
            <w:r>
              <w:rPr>
                <w:rFonts w:ascii="Times New Roman" w:hAnsi="Times New Roman"/>
                <w:sz w:val="12"/>
              </w:rPr>
              <w:t>Deliberate reversal of covenant values.</w:t>
            </w:r>
          </w:p>
        </w:tc>
      </w:tr>
      <w:tr>
        <w:tc>
          <w:tcPr>
            <w:tcW w:type="dxa" w:w="3561"/>
            <w:vAlign w:val="top"/>
          </w:tcPr>
          <w:p>
            <w:pPr>
              <w:spacing w:after="0" w:line="211" w:lineRule="auto"/>
            </w:pPr>
            <w:r>
              <w:rPr>
                <w:rFonts w:ascii="Times New Roman" w:hAnsi="Times New Roman"/>
                <w:sz w:val="12"/>
              </w:rPr>
              <w:t>Num. 16:15</w:t>
            </w:r>
          </w:p>
        </w:tc>
        <w:tc>
          <w:tcPr>
            <w:tcW w:type="dxa" w:w="3561"/>
            <w:vAlign w:val="top"/>
          </w:tcPr>
          <w:p>
            <w:pPr>
              <w:spacing w:after="0" w:line="211" w:lineRule="auto"/>
            </w:pPr>
            <w:r>
              <w:rPr>
                <w:rFonts w:ascii="Times New Roman" w:hAnsi="Times New Roman"/>
                <w:sz w:val="12"/>
              </w:rPr>
              <w:t>one donkey / no harm</w:t>
            </w:r>
          </w:p>
        </w:tc>
        <w:tc>
          <w:tcPr>
            <w:tcW w:type="dxa" w:w="3561"/>
            <w:vAlign w:val="top"/>
          </w:tcPr>
          <w:p>
            <w:pPr>
              <w:spacing w:after="0" w:line="211" w:lineRule="auto"/>
            </w:pPr>
            <w:r>
              <w:rPr>
                <w:rFonts w:ascii="Times New Roman" w:hAnsi="Times New Roman"/>
                <w:sz w:val="12"/>
              </w:rPr>
              <w:t>Moses denies self-enrichment/oppression.</w:t>
            </w:r>
          </w:p>
        </w:tc>
      </w:tr>
      <w:tr>
        <w:tc>
          <w:tcPr>
            <w:tcW w:type="dxa" w:w="3561"/>
            <w:vAlign w:val="top"/>
          </w:tcPr>
          <w:p>
            <w:pPr>
              <w:spacing w:after="0" w:line="211" w:lineRule="auto"/>
            </w:pPr>
            <w:r>
              <w:rPr>
                <w:rFonts w:ascii="Times New Roman" w:hAnsi="Times New Roman"/>
                <w:sz w:val="12"/>
              </w:rPr>
              <w:t>Num. 16:19</w:t>
            </w:r>
          </w:p>
        </w:tc>
        <w:tc>
          <w:tcPr>
            <w:tcW w:type="dxa" w:w="3561"/>
            <w:vAlign w:val="top"/>
          </w:tcPr>
          <w:p>
            <w:pPr>
              <w:spacing w:after="0" w:line="211" w:lineRule="auto"/>
            </w:pPr>
            <w:r>
              <w:rPr>
                <w:rFonts w:ascii="Times New Roman" w:hAnsi="Times New Roman"/>
                <w:sz w:val="12"/>
              </w:rPr>
              <w:t>congregation gathered</w:t>
            </w:r>
          </w:p>
        </w:tc>
        <w:tc>
          <w:tcPr>
            <w:tcW w:type="dxa" w:w="3561"/>
            <w:vAlign w:val="top"/>
          </w:tcPr>
          <w:p>
            <w:pPr>
              <w:spacing w:after="0" w:line="211" w:lineRule="auto"/>
            </w:pPr>
            <w:r>
              <w:rPr>
                <w:rFonts w:ascii="Times New Roman" w:hAnsi="Times New Roman"/>
                <w:sz w:val="12"/>
              </w:rPr>
              <w:t>Wider revolt present; censer-manufacture theory unstated.</w:t>
            </w:r>
          </w:p>
        </w:tc>
      </w:tr>
      <w:tr>
        <w:tc>
          <w:tcPr>
            <w:tcW w:type="dxa" w:w="3561"/>
            <w:vAlign w:val="top"/>
          </w:tcPr>
          <w:p>
            <w:pPr>
              <w:spacing w:after="0" w:line="211" w:lineRule="auto"/>
            </w:pPr>
            <w:r>
              <w:rPr>
                <w:rFonts w:ascii="Times New Roman" w:hAnsi="Times New Roman"/>
                <w:sz w:val="12"/>
              </w:rPr>
              <w:t>Num. 16:24</w:t>
            </w:r>
          </w:p>
        </w:tc>
        <w:tc>
          <w:tcPr>
            <w:tcW w:type="dxa" w:w="3561"/>
            <w:vAlign w:val="top"/>
          </w:tcPr>
          <w:p>
            <w:pPr>
              <w:spacing w:after="0" w:line="211" w:lineRule="auto"/>
            </w:pPr>
            <w:r>
              <w:rPr>
                <w:rFonts w:ascii="Times New Roman" w:hAnsi="Times New Roman"/>
                <w:sz w:val="12"/>
              </w:rPr>
              <w:t>rebel dwellings</w:t>
            </w:r>
          </w:p>
        </w:tc>
        <w:tc>
          <w:tcPr>
            <w:tcW w:type="dxa" w:w="3561"/>
            <w:vAlign w:val="top"/>
          </w:tcPr>
          <w:p>
            <w:pPr>
              <w:spacing w:after="0" w:line="211" w:lineRule="auto"/>
            </w:pPr>
            <w:r>
              <w:rPr>
                <w:rFonts w:ascii="Times New Roman" w:hAnsi="Times New Roman"/>
                <w:sz w:val="12"/>
              </w:rPr>
              <w:t>Detailed single-headquarters reconstruction unproved.</w:t>
            </w:r>
          </w:p>
        </w:tc>
      </w:tr>
      <w:tr>
        <w:tc>
          <w:tcPr>
            <w:tcW w:type="dxa" w:w="3561"/>
            <w:vAlign w:val="top"/>
          </w:tcPr>
          <w:p>
            <w:pPr>
              <w:spacing w:after="0" w:line="211" w:lineRule="auto"/>
            </w:pPr>
            <w:r>
              <w:rPr>
                <w:rFonts w:ascii="Times New Roman" w:hAnsi="Times New Roman"/>
                <w:sz w:val="12"/>
              </w:rPr>
              <w:t>Num. 16:30,33</w:t>
            </w:r>
          </w:p>
        </w:tc>
        <w:tc>
          <w:tcPr>
            <w:tcW w:type="dxa" w:w="3561"/>
            <w:vAlign w:val="top"/>
          </w:tcPr>
          <w:p>
            <w:pPr>
              <w:spacing w:after="0" w:line="211" w:lineRule="auto"/>
            </w:pPr>
            <w:r>
              <w:rPr>
                <w:rFonts w:ascii="Times New Roman" w:hAnsi="Times New Roman"/>
                <w:sz w:val="12"/>
              </w:rPr>
              <w:t>Sheol</w:t>
            </w:r>
          </w:p>
        </w:tc>
        <w:tc>
          <w:tcPr>
            <w:tcW w:type="dxa" w:w="3561"/>
            <w:vAlign w:val="top"/>
          </w:tcPr>
          <w:p>
            <w:pPr>
              <w:spacing w:after="0" w:line="211" w:lineRule="auto"/>
            </w:pPr>
            <w:r>
              <w:rPr>
                <w:rFonts w:ascii="Times New Roman" w:hAnsi="Times New Roman"/>
                <w:sz w:val="12"/>
              </w:rPr>
              <w:t>Pit/grave; living rebels descend and die.</w:t>
            </w:r>
          </w:p>
        </w:tc>
      </w:tr>
      <w:tr>
        <w:tc>
          <w:tcPr>
            <w:tcW w:type="dxa" w:w="3561"/>
            <w:vAlign w:val="top"/>
          </w:tcPr>
          <w:p>
            <w:pPr>
              <w:spacing w:after="0" w:line="211" w:lineRule="auto"/>
            </w:pPr>
            <w:r>
              <w:rPr>
                <w:rFonts w:ascii="Times New Roman" w:hAnsi="Times New Roman"/>
                <w:sz w:val="12"/>
              </w:rPr>
              <w:t>Num. 16:32</w:t>
            </w:r>
          </w:p>
        </w:tc>
        <w:tc>
          <w:tcPr>
            <w:tcW w:type="dxa" w:w="3561"/>
            <w:vAlign w:val="top"/>
          </w:tcPr>
          <w:p>
            <w:pPr>
              <w:spacing w:after="0" w:line="211" w:lineRule="auto"/>
            </w:pPr>
            <w:r>
              <w:rPr>
                <w:rFonts w:ascii="Times New Roman" w:hAnsi="Times New Roman"/>
                <w:sz w:val="12"/>
              </w:rPr>
              <w:t>households</w:t>
            </w:r>
          </w:p>
        </w:tc>
        <w:tc>
          <w:tcPr>
            <w:tcW w:type="dxa" w:w="3561"/>
            <w:vAlign w:val="top"/>
          </w:tcPr>
          <w:p>
            <w:pPr>
              <w:spacing w:after="0" w:line="211" w:lineRule="auto"/>
            </w:pPr>
            <w:r>
              <w:rPr>
                <w:rFonts w:ascii="Times New Roman" w:hAnsi="Times New Roman"/>
                <w:sz w:val="12"/>
              </w:rPr>
              <w:t>Judgment on associated rebel households; not all Korah descendants.</w:t>
            </w:r>
          </w:p>
        </w:tc>
      </w:tr>
      <w:tr>
        <w:tc>
          <w:tcPr>
            <w:tcW w:type="dxa" w:w="3561"/>
            <w:vAlign w:val="top"/>
          </w:tcPr>
          <w:p>
            <w:pPr>
              <w:spacing w:after="0" w:line="211" w:lineRule="auto"/>
            </w:pPr>
            <w:r>
              <w:rPr>
                <w:rFonts w:ascii="Times New Roman" w:hAnsi="Times New Roman"/>
                <w:sz w:val="12"/>
              </w:rPr>
              <w:t>Num. 26:11</w:t>
            </w:r>
          </w:p>
        </w:tc>
        <w:tc>
          <w:tcPr>
            <w:tcW w:type="dxa" w:w="3561"/>
            <w:vAlign w:val="top"/>
          </w:tcPr>
          <w:p>
            <w:pPr>
              <w:spacing w:after="0" w:line="211" w:lineRule="auto"/>
            </w:pPr>
            <w:r>
              <w:rPr>
                <w:rFonts w:ascii="Times New Roman" w:hAnsi="Times New Roman"/>
                <w:sz w:val="12"/>
              </w:rPr>
              <w:t>sons of Korah died not</w:t>
            </w:r>
          </w:p>
        </w:tc>
        <w:tc>
          <w:tcPr>
            <w:tcW w:type="dxa" w:w="3561"/>
            <w:vAlign w:val="top"/>
          </w:tcPr>
          <w:p>
            <w:pPr>
              <w:spacing w:after="0" w:line="211" w:lineRule="auto"/>
            </w:pPr>
            <w:r>
              <w:rPr>
                <w:rFonts w:ascii="Times New Roman" w:hAnsi="Times New Roman"/>
                <w:sz w:val="12"/>
              </w:rPr>
              <w:t>Explicit survival.</w:t>
            </w:r>
          </w:p>
        </w:tc>
      </w:tr>
      <w:tr>
        <w:tc>
          <w:tcPr>
            <w:tcW w:type="dxa" w:w="3561"/>
            <w:vAlign w:val="top"/>
          </w:tcPr>
          <w:p>
            <w:pPr>
              <w:spacing w:after="0" w:line="211" w:lineRule="auto"/>
            </w:pPr>
            <w:r>
              <w:rPr>
                <w:rFonts w:ascii="Times New Roman" w:hAnsi="Times New Roman"/>
                <w:sz w:val="12"/>
              </w:rPr>
              <w:t>Num. 16:35</w:t>
            </w:r>
          </w:p>
        </w:tc>
        <w:tc>
          <w:tcPr>
            <w:tcW w:type="dxa" w:w="3561"/>
            <w:vAlign w:val="top"/>
          </w:tcPr>
          <w:p>
            <w:pPr>
              <w:spacing w:after="0" w:line="211" w:lineRule="auto"/>
            </w:pPr>
            <w:r>
              <w:rPr>
                <w:rFonts w:ascii="Times New Roman" w:hAnsi="Times New Roman"/>
                <w:sz w:val="12"/>
              </w:rPr>
              <w:t>250 consumed by fire</w:t>
            </w:r>
          </w:p>
        </w:tc>
        <w:tc>
          <w:tcPr>
            <w:tcW w:type="dxa" w:w="3561"/>
            <w:vAlign w:val="top"/>
          </w:tcPr>
          <w:p>
            <w:pPr>
              <w:spacing w:after="0" w:line="211" w:lineRule="auto"/>
            </w:pPr>
            <w:r>
              <w:rPr>
                <w:rFonts w:ascii="Times New Roman" w:hAnsi="Times New Roman"/>
                <w:sz w:val="12"/>
              </w:rPr>
              <w:t>Exact fate of Korah himself remains debated.</w:t>
            </w:r>
          </w:p>
        </w:tc>
      </w:tr>
      <w:tr>
        <w:tc>
          <w:tcPr>
            <w:tcW w:type="dxa" w:w="3561"/>
            <w:vAlign w:val="top"/>
          </w:tcPr>
          <w:p>
            <w:pPr>
              <w:spacing w:after="0" w:line="211" w:lineRule="auto"/>
            </w:pPr>
            <w:r>
              <w:rPr>
                <w:rFonts w:ascii="Times New Roman" w:hAnsi="Times New Roman"/>
                <w:sz w:val="12"/>
              </w:rPr>
              <w:t>Num. 16:37–40</w:t>
            </w:r>
          </w:p>
        </w:tc>
        <w:tc>
          <w:tcPr>
            <w:tcW w:type="dxa" w:w="3561"/>
            <w:vAlign w:val="top"/>
          </w:tcPr>
          <w:p>
            <w:pPr>
              <w:spacing w:after="0" w:line="211" w:lineRule="auto"/>
            </w:pPr>
            <w:r>
              <w:rPr>
                <w:rFonts w:ascii="Times New Roman" w:hAnsi="Times New Roman"/>
                <w:sz w:val="12"/>
              </w:rPr>
              <w:t>bronze censers plated on altar</w:t>
            </w:r>
          </w:p>
        </w:tc>
        <w:tc>
          <w:tcPr>
            <w:tcW w:type="dxa" w:w="3561"/>
            <w:vAlign w:val="top"/>
          </w:tcPr>
          <w:p>
            <w:pPr>
              <w:spacing w:after="0" w:line="211" w:lineRule="auto"/>
            </w:pPr>
            <w:r>
              <w:rPr>
                <w:rFonts w:ascii="Times New Roman" w:hAnsi="Times New Roman"/>
                <w:sz w:val="12"/>
              </w:rPr>
              <w:t>Memorial against unauthorised incense offering.</w:t>
            </w:r>
          </w:p>
        </w:tc>
      </w:tr>
      <w:tr>
        <w:tc>
          <w:tcPr>
            <w:tcW w:type="dxa" w:w="3561"/>
            <w:vAlign w:val="top"/>
          </w:tcPr>
          <w:p>
            <w:pPr>
              <w:spacing w:after="0" w:line="211" w:lineRule="auto"/>
            </w:pPr>
            <w:r>
              <w:rPr>
                <w:rFonts w:ascii="Times New Roman" w:hAnsi="Times New Roman"/>
                <w:sz w:val="12"/>
              </w:rPr>
              <w:t>Num. 16:46–48</w:t>
            </w:r>
          </w:p>
        </w:tc>
        <w:tc>
          <w:tcPr>
            <w:tcW w:type="dxa" w:w="3561"/>
            <w:vAlign w:val="top"/>
          </w:tcPr>
          <w:p>
            <w:pPr>
              <w:spacing w:after="0" w:line="211" w:lineRule="auto"/>
            </w:pPr>
            <w:r>
              <w:rPr>
                <w:rFonts w:ascii="Times New Roman" w:hAnsi="Times New Roman"/>
                <w:sz w:val="12"/>
              </w:rPr>
              <w:t>Aaron between dead and living</w:t>
            </w:r>
          </w:p>
        </w:tc>
        <w:tc>
          <w:tcPr>
            <w:tcW w:type="dxa" w:w="3561"/>
            <w:vAlign w:val="top"/>
          </w:tcPr>
          <w:p>
            <w:pPr>
              <w:spacing w:after="0" w:line="211" w:lineRule="auto"/>
            </w:pPr>
            <w:r>
              <w:rPr>
                <w:rFonts w:ascii="Times New Roman" w:hAnsi="Times New Roman"/>
                <w:sz w:val="12"/>
              </w:rPr>
              <w:t>Incense intercession stops plague.</w:t>
            </w:r>
          </w:p>
        </w:tc>
      </w:tr>
      <w:tr>
        <w:tc>
          <w:tcPr>
            <w:tcW w:type="dxa" w:w="3561"/>
            <w:vAlign w:val="top"/>
          </w:tcPr>
          <w:p>
            <w:pPr>
              <w:spacing w:after="0" w:line="211" w:lineRule="auto"/>
            </w:pPr>
            <w:r>
              <w:rPr>
                <w:rFonts w:ascii="Times New Roman" w:hAnsi="Times New Roman"/>
                <w:sz w:val="12"/>
              </w:rPr>
              <w:t>Num. 16:49</w:t>
            </w:r>
          </w:p>
        </w:tc>
        <w:tc>
          <w:tcPr>
            <w:tcW w:type="dxa" w:w="3561"/>
            <w:vAlign w:val="top"/>
          </w:tcPr>
          <w:p>
            <w:pPr>
              <w:spacing w:after="0" w:line="211" w:lineRule="auto"/>
            </w:pPr>
            <w:r>
              <w:rPr>
                <w:rFonts w:ascii="Times New Roman" w:hAnsi="Times New Roman"/>
                <w:sz w:val="12"/>
              </w:rPr>
              <w:t>14,700</w:t>
            </w:r>
          </w:p>
        </w:tc>
        <w:tc>
          <w:tcPr>
            <w:tcW w:type="dxa" w:w="3561"/>
            <w:vAlign w:val="top"/>
          </w:tcPr>
          <w:p>
            <w:pPr>
              <w:spacing w:after="0" w:line="211" w:lineRule="auto"/>
            </w:pPr>
            <w:r>
              <w:rPr>
                <w:rFonts w:ascii="Times New Roman" w:hAnsi="Times New Roman"/>
                <w:sz w:val="12"/>
              </w:rPr>
              <w:t>Deaths in second-day plague, besides Korah incident.</w:t>
            </w:r>
          </w:p>
        </w:tc>
      </w:tr>
      <w:tr>
        <w:tc>
          <w:tcPr>
            <w:tcW w:type="dxa" w:w="3561"/>
            <w:vAlign w:val="top"/>
          </w:tcPr>
          <w:p>
            <w:pPr>
              <w:spacing w:after="0" w:line="211" w:lineRule="auto"/>
            </w:pPr>
            <w:r>
              <w:rPr>
                <w:rFonts w:ascii="Times New Roman" w:hAnsi="Times New Roman"/>
                <w:sz w:val="12"/>
              </w:rPr>
              <w:t>Jude 11</w:t>
            </w:r>
          </w:p>
        </w:tc>
        <w:tc>
          <w:tcPr>
            <w:tcW w:type="dxa" w:w="3561"/>
            <w:vAlign w:val="top"/>
          </w:tcPr>
          <w:p>
            <w:pPr>
              <w:spacing w:after="0" w:line="211" w:lineRule="auto"/>
            </w:pPr>
            <w:r>
              <w:rPr>
                <w:rFonts w:ascii="Times New Roman" w:hAnsi="Times New Roman"/>
                <w:sz w:val="12"/>
              </w:rPr>
              <w:t>gainsaying of Core/Korah</w:t>
            </w:r>
          </w:p>
        </w:tc>
        <w:tc>
          <w:tcPr>
            <w:tcW w:type="dxa" w:w="3561"/>
            <w:vAlign w:val="top"/>
          </w:tcPr>
          <w:p>
            <w:pPr>
              <w:spacing w:after="0" w:line="211" w:lineRule="auto"/>
            </w:pPr>
            <w:r>
              <w:rPr>
                <w:rFonts w:ascii="Times New Roman" w:hAnsi="Times New Roman"/>
                <w:sz w:val="12"/>
              </w:rPr>
              <w:t>Direct NT application.</w:t>
            </w:r>
          </w:p>
        </w:tc>
      </w:tr>
      <w:tr>
        <w:tc>
          <w:tcPr>
            <w:tcW w:type="dxa" w:w="3561"/>
            <w:vAlign w:val="top"/>
          </w:tcPr>
          <w:p>
            <w:pPr>
              <w:spacing w:after="0" w:line="211" w:lineRule="auto"/>
            </w:pPr>
            <w:r>
              <w:rPr>
                <w:rFonts w:ascii="Times New Roman" w:hAnsi="Times New Roman"/>
                <w:sz w:val="12"/>
              </w:rPr>
              <w:t>2 Pet. 2:4; Jude 6</w:t>
            </w:r>
          </w:p>
        </w:tc>
        <w:tc>
          <w:tcPr>
            <w:tcW w:type="dxa" w:w="3561"/>
            <w:vAlign w:val="top"/>
          </w:tcPr>
          <w:p>
            <w:pPr>
              <w:spacing w:after="0" w:line="211" w:lineRule="auto"/>
            </w:pPr>
            <w:r>
              <w:rPr>
                <w:rFonts w:ascii="Times New Roman" w:hAnsi="Times New Roman"/>
                <w:sz w:val="12"/>
              </w:rPr>
              <w:t>sinning angels</w:t>
            </w:r>
          </w:p>
        </w:tc>
        <w:tc>
          <w:tcPr>
            <w:tcW w:type="dxa" w:w="3561"/>
            <w:vAlign w:val="top"/>
          </w:tcPr>
          <w:p>
            <w:pPr>
              <w:spacing w:after="0" w:line="211" w:lineRule="auto"/>
            </w:pPr>
            <w:r>
              <w:rPr>
                <w:rFonts w:ascii="Times New Roman" w:hAnsi="Times New Roman"/>
                <w:sz w:val="12"/>
              </w:rPr>
              <w:t>Mansfield’s identification with Korah leaders not explicit.</w:t>
            </w:r>
          </w:p>
        </w:tc>
      </w:tr>
    </w:tbl>
    <w:p>
      <w:pPr>
        <w:pStyle w:val="Heading1"/>
      </w:pPr>
      <w:r>
        <w:t>RESIDUAL UNCERTAINTIES</w:t>
      </w:r>
    </w:p>
    <w:p>
      <w:pPr/>
      <w:r>
        <w:rPr>
          <w:i w:val="0"/>
        </w:rPr>
        <w:t>The Hebrew of verse 1, the composition of the 250, the exact configuration of rebel dwellings and Korah’s precise manner of death remain debated. Numbers 26:10–11 must be held alongside Numbers 16. Mansfield’s identification of 2 Peter 2:4/Jude 6 with Korah’s leaders is theological speculation, not explicit cross-reference.</w:t>
      </w:r>
    </w:p>
    <w:sectPr w:rsidR="00FC693F" w:rsidRPr="0006063C" w:rsidSect="00034616">
      <w:headerReference w:type="default" r:id="rId9"/>
      <w:footerReference w:type="default" r:id="rId10"/>
      <w:pgSz w:w="12240" w:h="15840"/>
      <w:pgMar w:top="720" w:right="778" w:bottom="720"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5" w:line="240" w:lineRule="auto"/>
    </w:pPr>
    <w:rPr>
      <w:rFonts w:ascii="Times New Roman" w:hAnsi="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