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17</w:t>
      </w:r>
    </w:p>
    <w:p>
      <w:pPr>
        <w:pStyle w:val="Subtitle"/>
      </w:pPr>
      <w:r>
        <w:t>AARON’S ROD BUDS • TWELVE TRIBAL STAFFS • YAHWEH CHOOSES • BUD, BLOSSOM AND ALMOND • A TOKEN AGAINST MURMURING • SAFE APPROACH REQUIRES APPOINTED PRIESTHOOD</w:t>
      </w:r>
    </w:p>
    <w:p>
      <w:pPr/>
      <w:r>
        <w:rPr>
          <w:i/>
        </w:rPr>
        <w:t>H. P. Mansfield Bible notes — checked and arranged in verse-by-verse Expositor style</w:t>
      </w:r>
    </w:p>
    <w:p>
      <w:pPr/>
      <w:r>
        <w:rPr>
          <w:i w:val="0"/>
        </w:rPr>
        <w:t>Source: HPB 03-Lev12-Num36.PDF, mainly p. 66; cross-checked with Mansfield’s Numbers Expositor Chapter 17.</w:t>
      </w:r>
    </w:p>
    <w:p>
      <w:pPr>
        <w:pStyle w:val="Heading1"/>
      </w:pPr>
      <w:r>
        <w:t>CHAPTER OVERVIEW</w:t>
      </w:r>
    </w:p>
    <w:p>
      <w:pPr/>
      <w:r>
        <w:rPr>
          <w:i w:val="0"/>
        </w:rPr>
        <w:t>After the violent judgments of chapter 16, Yahweh gives a quiet but unmistakable sign identifying the priestly house He has chosen. Each tribal house supplies a staff; Aaron’s name is written on Levi’s. Only Aaron’s dead staff produces life.</w:t>
      </w:r>
    </w:p>
    <w:p>
      <w:pPr/>
      <w:r>
        <w:rPr>
          <w:i w:val="0"/>
        </w:rPr>
        <w:t>The sign is preventive as well as vindicatory. Aaron’s rod is kept before the testimony so that future murmuring against the appointed priesthood can be answered by Yahweh’s own witness rather than repeated contest.</w:t>
      </w:r>
    </w:p>
    <w:p>
      <w:pPr>
        <w:pStyle w:val="Heading1"/>
      </w:pPr>
      <w:r>
        <w:t>TWELVE RODS BEFORE YAHWEH — NUMBERS 17:1–5</w:t>
      </w:r>
    </w:p>
    <w:p>
      <w:pPr>
        <w:pStyle w:val="Heading2"/>
      </w:pPr>
      <w:r>
        <w:t>Numbers 17:1–3 — one matteh for each fathers’ house</w:t>
      </w:r>
    </w:p>
    <w:p>
      <w:pPr/>
      <w:r>
        <w:rPr>
          <w:i w:val="0"/>
        </w:rPr>
        <w:t>Each tribal prince supplies a matteh, staff/rod, with his name written upon it; Aaron’s name is written on Levi’s staff. Matteh can denote a staff and, by extension, a tribe because the staff represents tribal authority.</w:t>
      </w:r>
    </w:p>
    <w:p>
      <w:pPr/>
      <w:r>
        <w:rPr>
          <w:i w:val="0"/>
        </w:rPr>
        <w:t>Mansfield suggests that all the staffs were probably almond wood. Numbers does not say this. The almond connection becomes explicit only when Aaron’s staff produces almonds.</w:t>
      </w:r>
    </w:p>
    <w:p>
      <w:pPr>
        <w:pStyle w:val="Heading2"/>
      </w:pPr>
      <w:r>
        <w:t>Numbers 17:4–5 — laid before the testimony</w:t>
      </w:r>
    </w:p>
    <w:p>
      <w:pPr/>
      <w:r>
        <w:rPr>
          <w:i w:val="0"/>
        </w:rPr>
        <w:t>The rods are placed in the Tent of Meeting “before the testimony,” where Yahweh meets with Moses. Yahweh declares that the rod belonging to the man He chooses will blossom/bud.</w:t>
      </w:r>
    </w:p>
    <w:p>
      <w:pPr/>
      <w:r>
        <w:rPr>
          <w:i w:val="0"/>
        </w:rPr>
        <w:t>The purpose is stated: Yahweh will cause the murmurings against Moses and Aaron to cease from before Him.</w:t>
      </w:r>
    </w:p>
    <w:p>
      <w:pPr>
        <w:pStyle w:val="Heading1"/>
      </w:pPr>
      <w:r>
        <w:t>AARON’S ROD LIVES — NUMBERS 17:6–8</w:t>
      </w:r>
    </w:p>
    <w:p>
      <w:pPr>
        <w:pStyle w:val="Heading2"/>
      </w:pPr>
      <w:r>
        <w:t>Numbers 17:6–7 — representatives submit their rods</w:t>
      </w:r>
    </w:p>
    <w:p>
      <w:pPr/>
      <w:r>
        <w:rPr>
          <w:i w:val="0"/>
        </w:rPr>
        <w:t>The princes give Moses their rods, twelve in all according to their fathers’ houses, and Aaron’s rod is among them. Moses lays them before Yahweh.</w:t>
      </w:r>
    </w:p>
    <w:p>
      <w:pPr/>
      <w:r>
        <w:rPr>
          <w:i w:val="0"/>
        </w:rPr>
        <w:t>The text’s counting has generated discussion because Levi is represented by Aaron while Joseph’s tribal representation elsewhere can be divided between Ephraim and Manasseh. Here the narrator simply states twelve rods; the exact tribal enumeration need not be reconstructed beyond the text.</w:t>
      </w:r>
    </w:p>
    <w:p>
      <w:pPr>
        <w:pStyle w:val="Heading2"/>
      </w:pPr>
      <w:r>
        <w:t>Numbers 17:8 — bud, blossom and ripe almonds at once</w:t>
      </w:r>
    </w:p>
    <w:p>
      <w:pPr/>
      <w:r>
        <w:rPr>
          <w:i w:val="0"/>
        </w:rPr>
        <w:t>On the next day Aaron’s staff for Levi has budded, produced blossoms and borne ripe almonds. A severed dry staff displays successive stages of plant life simultaneously.</w:t>
      </w:r>
    </w:p>
    <w:p>
      <w:pPr/>
      <w:r>
        <w:rPr>
          <w:i w:val="0"/>
        </w:rPr>
        <w:t>This is direct Divine authentication of Aaron’s priestly status. Mansfield’s resurrection application is a strong typological lesson: life from a dead staff vindicates the one Yahweh has chosen. Hebrews 5:4 likewise stresses that priestly honour is received by Divine calling, not self-appointment.</w:t>
      </w:r>
    </w:p>
    <w:p>
      <w:pPr>
        <w:pStyle w:val="Heading2"/>
      </w:pPr>
      <w:r>
        <w:t>Almond symbolism — useful but secondary</w:t>
      </w:r>
    </w:p>
    <w:p>
      <w:pPr/>
      <w:r>
        <w:rPr>
          <w:i w:val="0"/>
        </w:rPr>
        <w:t>The Hebrew for almond is shaqed, associated with the root shaqad, to watch/be wakeful; Jeremiah 1:11–12 uses an explicit wordplay between almond and Yahweh watching over His word.</w:t>
      </w:r>
    </w:p>
    <w:p>
      <w:pPr/>
      <w:r>
        <w:rPr>
          <w:i w:val="0"/>
        </w:rPr>
        <w:t>Numbers 17 itself does not explain the almond through that etymology, so vigilance/resurrection applications should remain typological rather than lexical claims of this chapter.</w:t>
      </w:r>
    </w:p>
    <w:p>
      <w:pPr>
        <w:pStyle w:val="Heading1"/>
      </w:pPr>
      <w:r>
        <w:t>THE PERMANENT TOKEN — NUMBERS 17:9–10</w:t>
      </w:r>
    </w:p>
    <w:p>
      <w:pPr>
        <w:pStyle w:val="Heading2"/>
      </w:pPr>
      <w:r>
        <w:t>Numbers 17:9 — each prince receives his own rod</w:t>
      </w:r>
    </w:p>
    <w:p>
      <w:pPr/>
      <w:r>
        <w:rPr>
          <w:i w:val="0"/>
        </w:rPr>
        <w:t>Moses brings the rods out; the princes see them and take their own rods back. The contrast leaves Aaron’s sign publicly witnessed.</w:t>
      </w:r>
    </w:p>
    <w:p>
      <w:pPr>
        <w:pStyle w:val="Heading2"/>
      </w:pPr>
      <w:r>
        <w:t>Numbers 17:10 — Aaron’s rod retained before the testimony</w:t>
      </w:r>
    </w:p>
    <w:p>
      <w:pPr/>
      <w:r>
        <w:rPr>
          <w:i w:val="0"/>
        </w:rPr>
        <w:t>Yahweh commands Aaron’s rod to be returned “before the testimony” as a token/sign against the children of rebellion, so their complaints may cease and they do not die.</w:t>
      </w:r>
    </w:p>
    <w:p>
      <w:pPr/>
      <w:r>
        <w:rPr>
          <w:i w:val="0"/>
        </w:rPr>
        <w:t>Hebrews 9:4 later lists Aaron’s rod that budded among the sacred objects associated with the ark. Numbers 17:10 itself says “before the testimony”; it is safest not to over-specify the exact later storage position from this verse alone.</w:t>
      </w:r>
    </w:p>
    <w:p>
      <w:pPr>
        <w:pStyle w:val="Heading1"/>
      </w:pPr>
      <w:r>
        <w:t>THE PEOPLE FEAR APPROACH — NUMBERS 17:11–13</w:t>
      </w:r>
    </w:p>
    <w:p>
      <w:pPr>
        <w:pStyle w:val="Heading2"/>
      </w:pPr>
      <w:r>
        <w:t>Numbers 17:11 — Moses obeys exactly</w:t>
      </w:r>
    </w:p>
    <w:p>
      <w:pPr/>
      <w:r>
        <w:rPr>
          <w:i w:val="0"/>
        </w:rPr>
        <w:t>Moses does as Yahweh commands, underscoring that the priesthood question is settled by revelation rather than human election.</w:t>
      </w:r>
    </w:p>
    <w:p>
      <w:pPr>
        <w:pStyle w:val="Heading2"/>
      </w:pPr>
      <w:r>
        <w:t>Numbers 17:12–13 — “shall we be consumed with dying?”</w:t>
      </w:r>
    </w:p>
    <w:p>
      <w:pPr/>
      <w:r>
        <w:rPr>
          <w:i w:val="0"/>
        </w:rPr>
        <w:t>Israel now recognises the seriousness of unauthorised nearness to the tabernacle and fears that everyone who approaches will die.</w:t>
      </w:r>
    </w:p>
    <w:p>
      <w:pPr/>
      <w:r>
        <w:rPr>
          <w:i w:val="0"/>
        </w:rPr>
        <w:t>Chapter 18 answers the fear not by abolishing priesthood but by carefully defining priestly and Levitical responsibility so the congregation may approach through Yahweh’s appointed order.</w:t>
      </w:r>
    </w:p>
    <w:p>
      <w:pPr>
        <w:pStyle w:val="Heading1"/>
      </w:pPr>
      <w:r>
        <w:t>PRINCIPAL THEMES</w:t>
      </w:r>
    </w:p>
    <w:p>
      <w:pPr>
        <w:ind w:left="259" w:hanging="202"/>
      </w:pPr>
      <w:r>
        <w:rPr>
          <w:b/>
        </w:rPr>
        <w:t xml:space="preserve">• </w:t>
      </w:r>
      <w:r>
        <w:t>Yahweh Himself, not a human vote, confirms Aaron’s priestly appointment.</w:t>
      </w:r>
    </w:p>
    <w:p>
      <w:pPr>
        <w:ind w:left="259" w:hanging="202"/>
      </w:pPr>
      <w:r>
        <w:rPr>
          <w:b/>
        </w:rPr>
        <w:t xml:space="preserve">• </w:t>
      </w:r>
      <w:r>
        <w:t>Matteh means staff/rod and can represent tribal authority.</w:t>
      </w:r>
    </w:p>
    <w:p>
      <w:pPr>
        <w:ind w:left="259" w:hanging="202"/>
      </w:pPr>
      <w:r>
        <w:rPr>
          <w:b/>
        </w:rPr>
        <w:t xml:space="preserve">• </w:t>
      </w:r>
      <w:r>
        <w:t>The text does not say all twelve rods were almond wood.</w:t>
      </w:r>
    </w:p>
    <w:p>
      <w:pPr>
        <w:ind w:left="259" w:hanging="202"/>
      </w:pPr>
      <w:r>
        <w:rPr>
          <w:b/>
        </w:rPr>
        <w:t xml:space="preserve">• </w:t>
      </w:r>
      <w:r>
        <w:t>Aaron’s dead rod simultaneously buds, blossoms and bears almonds—an unmistakable life-sign.</w:t>
      </w:r>
    </w:p>
    <w:p>
      <w:pPr>
        <w:ind w:left="259" w:hanging="202"/>
      </w:pPr>
      <w:r>
        <w:rPr>
          <w:b/>
        </w:rPr>
        <w:t xml:space="preserve">• </w:t>
      </w:r>
      <w:r>
        <w:t>Resurrection and vigilance applications are typological; the chapter’s explicit function is priestly vindication.</w:t>
      </w:r>
    </w:p>
    <w:p>
      <w:pPr>
        <w:ind w:left="259" w:hanging="202"/>
      </w:pPr>
      <w:r>
        <w:rPr>
          <w:b/>
        </w:rPr>
        <w:t xml:space="preserve">• </w:t>
      </w:r>
      <w:r>
        <w:t>Aaron’s rod is retained as a preventive token against future murmuring.</w:t>
      </w:r>
    </w:p>
    <w:p>
      <w:pPr>
        <w:ind w:left="259" w:hanging="202"/>
      </w:pPr>
      <w:r>
        <w:rPr>
          <w:b/>
        </w:rPr>
        <w:t xml:space="preserve">• </w:t>
      </w:r>
      <w:r>
        <w:t>Numbers 17 says the rod is kept “before the testimony”; later Hebrews 9:4 should not be used to force unnecessary spatial precision into this verse.</w:t>
      </w:r>
    </w:p>
    <w:p>
      <w:pPr>
        <w:ind w:left="259" w:hanging="202"/>
      </w:pPr>
      <w:r>
        <w:rPr>
          <w:b/>
        </w:rPr>
        <w:t xml:space="preserve">• </w:t>
      </w:r>
      <w:r>
        <w:t>The people’s fear leads naturally into chapter 18’s regulations for safe, appointed approach.</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Num. 17:2</w:t>
            </w:r>
          </w:p>
        </w:tc>
        <w:tc>
          <w:tcPr>
            <w:tcW w:type="dxa" w:w="3561"/>
            <w:vAlign w:val="top"/>
          </w:tcPr>
          <w:p>
            <w:pPr>
              <w:spacing w:after="0"/>
            </w:pPr>
            <w:r>
              <w:rPr>
                <w:rFonts w:ascii="Times New Roman" w:hAnsi="Times New Roman"/>
                <w:sz w:val="14"/>
              </w:rPr>
              <w:t>matteh</w:t>
            </w:r>
          </w:p>
        </w:tc>
        <w:tc>
          <w:tcPr>
            <w:tcW w:type="dxa" w:w="3561"/>
            <w:vAlign w:val="top"/>
          </w:tcPr>
          <w:p>
            <w:pPr>
              <w:spacing w:after="0"/>
            </w:pPr>
            <w:r>
              <w:rPr>
                <w:rFonts w:ascii="Times New Roman" w:hAnsi="Times New Roman"/>
                <w:sz w:val="14"/>
              </w:rPr>
              <w:t>Staff/rod; also used representatively for tribe.</w:t>
            </w:r>
          </w:p>
        </w:tc>
      </w:tr>
      <w:tr>
        <w:tc>
          <w:tcPr>
            <w:tcW w:type="dxa" w:w="3561"/>
            <w:vAlign w:val="top"/>
          </w:tcPr>
          <w:p>
            <w:pPr>
              <w:spacing w:after="0"/>
            </w:pPr>
            <w:r>
              <w:rPr>
                <w:rFonts w:ascii="Times New Roman" w:hAnsi="Times New Roman"/>
                <w:sz w:val="14"/>
              </w:rPr>
              <w:t>Num. 17:2–3</w:t>
            </w:r>
          </w:p>
        </w:tc>
        <w:tc>
          <w:tcPr>
            <w:tcW w:type="dxa" w:w="3561"/>
            <w:vAlign w:val="top"/>
          </w:tcPr>
          <w:p>
            <w:pPr>
              <w:spacing w:after="0"/>
            </w:pPr>
            <w:r>
              <w:rPr>
                <w:rFonts w:ascii="Times New Roman" w:hAnsi="Times New Roman"/>
                <w:sz w:val="14"/>
              </w:rPr>
              <w:t>twelve rods; Aaron on Levi</w:t>
            </w:r>
          </w:p>
        </w:tc>
        <w:tc>
          <w:tcPr>
            <w:tcW w:type="dxa" w:w="3561"/>
            <w:vAlign w:val="top"/>
          </w:tcPr>
          <w:p>
            <w:pPr>
              <w:spacing w:after="0"/>
            </w:pPr>
            <w:r>
              <w:rPr>
                <w:rFonts w:ascii="Times New Roman" w:hAnsi="Times New Roman"/>
                <w:sz w:val="14"/>
              </w:rPr>
              <w:t>Public tribal test of Divine choice.</w:t>
            </w:r>
          </w:p>
        </w:tc>
      </w:tr>
      <w:tr>
        <w:tc>
          <w:tcPr>
            <w:tcW w:type="dxa" w:w="3561"/>
            <w:vAlign w:val="top"/>
          </w:tcPr>
          <w:p>
            <w:pPr>
              <w:spacing w:after="0"/>
            </w:pPr>
            <w:r>
              <w:rPr>
                <w:rFonts w:ascii="Times New Roman" w:hAnsi="Times New Roman"/>
                <w:sz w:val="14"/>
              </w:rPr>
              <w:t>Num. 17:4</w:t>
            </w:r>
          </w:p>
        </w:tc>
        <w:tc>
          <w:tcPr>
            <w:tcW w:type="dxa" w:w="3561"/>
            <w:vAlign w:val="top"/>
          </w:tcPr>
          <w:p>
            <w:pPr>
              <w:spacing w:after="0"/>
            </w:pPr>
            <w:r>
              <w:rPr>
                <w:rFonts w:ascii="Times New Roman" w:hAnsi="Times New Roman"/>
                <w:sz w:val="14"/>
              </w:rPr>
              <w:t>before the testimony</w:t>
            </w:r>
          </w:p>
        </w:tc>
        <w:tc>
          <w:tcPr>
            <w:tcW w:type="dxa" w:w="3561"/>
            <w:vAlign w:val="top"/>
          </w:tcPr>
          <w:p>
            <w:pPr>
              <w:spacing w:after="0"/>
            </w:pPr>
            <w:r>
              <w:rPr>
                <w:rFonts w:ascii="Times New Roman" w:hAnsi="Times New Roman"/>
                <w:sz w:val="14"/>
              </w:rPr>
              <w:t>Place of Divine witness/meeting.</w:t>
            </w:r>
          </w:p>
        </w:tc>
      </w:tr>
      <w:tr>
        <w:tc>
          <w:tcPr>
            <w:tcW w:type="dxa" w:w="3561"/>
            <w:vAlign w:val="top"/>
          </w:tcPr>
          <w:p>
            <w:pPr>
              <w:spacing w:after="0"/>
            </w:pPr>
            <w:r>
              <w:rPr>
                <w:rFonts w:ascii="Times New Roman" w:hAnsi="Times New Roman"/>
                <w:sz w:val="14"/>
              </w:rPr>
              <w:t>Num. 17:5</w:t>
            </w:r>
          </w:p>
        </w:tc>
        <w:tc>
          <w:tcPr>
            <w:tcW w:type="dxa" w:w="3561"/>
            <w:vAlign w:val="top"/>
          </w:tcPr>
          <w:p>
            <w:pPr>
              <w:spacing w:after="0"/>
            </w:pPr>
            <w:r>
              <w:rPr>
                <w:rFonts w:ascii="Times New Roman" w:hAnsi="Times New Roman"/>
                <w:sz w:val="14"/>
              </w:rPr>
              <w:t>chosen rod will bud</w:t>
            </w:r>
          </w:p>
        </w:tc>
        <w:tc>
          <w:tcPr>
            <w:tcW w:type="dxa" w:w="3561"/>
            <w:vAlign w:val="top"/>
          </w:tcPr>
          <w:p>
            <w:pPr>
              <w:spacing w:after="0"/>
            </w:pPr>
            <w:r>
              <w:rPr>
                <w:rFonts w:ascii="Times New Roman" w:hAnsi="Times New Roman"/>
                <w:sz w:val="14"/>
              </w:rPr>
              <w:t>Yahweh’s stated test.</w:t>
            </w:r>
          </w:p>
        </w:tc>
      </w:tr>
      <w:tr>
        <w:tc>
          <w:tcPr>
            <w:tcW w:type="dxa" w:w="3561"/>
            <w:vAlign w:val="top"/>
          </w:tcPr>
          <w:p>
            <w:pPr>
              <w:spacing w:after="0"/>
            </w:pPr>
            <w:r>
              <w:rPr>
                <w:rFonts w:ascii="Times New Roman" w:hAnsi="Times New Roman"/>
                <w:sz w:val="14"/>
              </w:rPr>
              <w:t>Num. 17:8</w:t>
            </w:r>
          </w:p>
        </w:tc>
        <w:tc>
          <w:tcPr>
            <w:tcW w:type="dxa" w:w="3561"/>
            <w:vAlign w:val="top"/>
          </w:tcPr>
          <w:p>
            <w:pPr>
              <w:spacing w:after="0"/>
            </w:pPr>
            <w:r>
              <w:rPr>
                <w:rFonts w:ascii="Times New Roman" w:hAnsi="Times New Roman"/>
                <w:sz w:val="14"/>
              </w:rPr>
              <w:t>buds, blossoms, almonds</w:t>
            </w:r>
          </w:p>
        </w:tc>
        <w:tc>
          <w:tcPr>
            <w:tcW w:type="dxa" w:w="3561"/>
            <w:vAlign w:val="top"/>
          </w:tcPr>
          <w:p>
            <w:pPr>
              <w:spacing w:after="0"/>
            </w:pPr>
            <w:r>
              <w:rPr>
                <w:rFonts w:ascii="Times New Roman" w:hAnsi="Times New Roman"/>
                <w:sz w:val="14"/>
              </w:rPr>
              <w:t>All stages of life/fruitfulness appear on Aaron’s staff.</w:t>
            </w:r>
          </w:p>
        </w:tc>
      </w:tr>
      <w:tr>
        <w:tc>
          <w:tcPr>
            <w:tcW w:type="dxa" w:w="3561"/>
            <w:vAlign w:val="top"/>
          </w:tcPr>
          <w:p>
            <w:pPr>
              <w:spacing w:after="0"/>
            </w:pPr>
            <w:r>
              <w:rPr>
                <w:rFonts w:ascii="Times New Roman" w:hAnsi="Times New Roman"/>
                <w:sz w:val="14"/>
              </w:rPr>
              <w:t>Num. 17:8</w:t>
            </w:r>
          </w:p>
        </w:tc>
        <w:tc>
          <w:tcPr>
            <w:tcW w:type="dxa" w:w="3561"/>
            <w:vAlign w:val="top"/>
          </w:tcPr>
          <w:p>
            <w:pPr>
              <w:spacing w:after="0"/>
            </w:pPr>
            <w:r>
              <w:rPr>
                <w:rFonts w:ascii="Times New Roman" w:hAnsi="Times New Roman"/>
                <w:sz w:val="14"/>
              </w:rPr>
              <w:t>all rods almond wood</w:t>
            </w:r>
          </w:p>
        </w:tc>
        <w:tc>
          <w:tcPr>
            <w:tcW w:type="dxa" w:w="3561"/>
            <w:vAlign w:val="top"/>
          </w:tcPr>
          <w:p>
            <w:pPr>
              <w:spacing w:after="0"/>
            </w:pPr>
            <w:r>
              <w:rPr>
                <w:rFonts w:ascii="Times New Roman" w:hAnsi="Times New Roman"/>
                <w:sz w:val="14"/>
              </w:rPr>
              <w:t>Not stated; Mansfield’s suggestion is speculative.</w:t>
            </w:r>
          </w:p>
        </w:tc>
      </w:tr>
      <w:tr>
        <w:tc>
          <w:tcPr>
            <w:tcW w:type="dxa" w:w="3561"/>
            <w:vAlign w:val="top"/>
          </w:tcPr>
          <w:p>
            <w:pPr>
              <w:spacing w:after="0"/>
            </w:pPr>
            <w:r>
              <w:rPr>
                <w:rFonts w:ascii="Times New Roman" w:hAnsi="Times New Roman"/>
                <w:sz w:val="14"/>
              </w:rPr>
              <w:t>Jer. 1:11–12</w:t>
            </w:r>
          </w:p>
        </w:tc>
        <w:tc>
          <w:tcPr>
            <w:tcW w:type="dxa" w:w="3561"/>
            <w:vAlign w:val="top"/>
          </w:tcPr>
          <w:p>
            <w:pPr>
              <w:spacing w:after="0"/>
            </w:pPr>
            <w:r>
              <w:rPr>
                <w:rFonts w:ascii="Times New Roman" w:hAnsi="Times New Roman"/>
                <w:sz w:val="14"/>
              </w:rPr>
              <w:t>shaqed / shaqad wordplay</w:t>
            </w:r>
          </w:p>
        </w:tc>
        <w:tc>
          <w:tcPr>
            <w:tcW w:type="dxa" w:w="3561"/>
            <w:vAlign w:val="top"/>
          </w:tcPr>
          <w:p>
            <w:pPr>
              <w:spacing w:after="0"/>
            </w:pPr>
            <w:r>
              <w:rPr>
                <w:rFonts w:ascii="Times New Roman" w:hAnsi="Times New Roman"/>
                <w:sz w:val="14"/>
              </w:rPr>
              <w:t>Almond/watchfulness link explicit there, not explained in Num. 17.</w:t>
            </w:r>
          </w:p>
        </w:tc>
      </w:tr>
      <w:tr>
        <w:tc>
          <w:tcPr>
            <w:tcW w:type="dxa" w:w="3561"/>
            <w:vAlign w:val="top"/>
          </w:tcPr>
          <w:p>
            <w:pPr>
              <w:spacing w:after="0"/>
            </w:pPr>
            <w:r>
              <w:rPr>
                <w:rFonts w:ascii="Times New Roman" w:hAnsi="Times New Roman"/>
                <w:sz w:val="14"/>
              </w:rPr>
              <w:t>Heb. 5:4</w:t>
            </w:r>
          </w:p>
        </w:tc>
        <w:tc>
          <w:tcPr>
            <w:tcW w:type="dxa" w:w="3561"/>
            <w:vAlign w:val="top"/>
          </w:tcPr>
          <w:p>
            <w:pPr>
              <w:spacing w:after="0"/>
            </w:pPr>
            <w:r>
              <w:rPr>
                <w:rFonts w:ascii="Times New Roman" w:hAnsi="Times New Roman"/>
                <w:sz w:val="14"/>
              </w:rPr>
              <w:t>called of God as Aaron</w:t>
            </w:r>
          </w:p>
        </w:tc>
        <w:tc>
          <w:tcPr>
            <w:tcW w:type="dxa" w:w="3561"/>
            <w:vAlign w:val="top"/>
          </w:tcPr>
          <w:p>
            <w:pPr>
              <w:spacing w:after="0"/>
            </w:pPr>
            <w:r>
              <w:rPr>
                <w:rFonts w:ascii="Times New Roman" w:hAnsi="Times New Roman"/>
                <w:sz w:val="14"/>
              </w:rPr>
              <w:t>Direct NT principle of Divine priestly appointment.</w:t>
            </w:r>
          </w:p>
        </w:tc>
      </w:tr>
      <w:tr>
        <w:tc>
          <w:tcPr>
            <w:tcW w:type="dxa" w:w="3561"/>
            <w:vAlign w:val="top"/>
          </w:tcPr>
          <w:p>
            <w:pPr>
              <w:spacing w:after="0"/>
            </w:pPr>
            <w:r>
              <w:rPr>
                <w:rFonts w:ascii="Times New Roman" w:hAnsi="Times New Roman"/>
                <w:sz w:val="14"/>
              </w:rPr>
              <w:t>Num. 17:10</w:t>
            </w:r>
          </w:p>
        </w:tc>
        <w:tc>
          <w:tcPr>
            <w:tcW w:type="dxa" w:w="3561"/>
            <w:vAlign w:val="top"/>
          </w:tcPr>
          <w:p>
            <w:pPr>
              <w:spacing w:after="0"/>
            </w:pPr>
            <w:r>
              <w:rPr>
                <w:rFonts w:ascii="Times New Roman" w:hAnsi="Times New Roman"/>
                <w:sz w:val="14"/>
              </w:rPr>
              <w:t>token against rebels</w:t>
            </w:r>
          </w:p>
        </w:tc>
        <w:tc>
          <w:tcPr>
            <w:tcW w:type="dxa" w:w="3561"/>
            <w:vAlign w:val="top"/>
          </w:tcPr>
          <w:p>
            <w:pPr>
              <w:spacing w:after="0"/>
            </w:pPr>
            <w:r>
              <w:rPr>
                <w:rFonts w:ascii="Times New Roman" w:hAnsi="Times New Roman"/>
                <w:sz w:val="14"/>
              </w:rPr>
              <w:t>Preventive memorial intended to end murmuring.</w:t>
            </w:r>
          </w:p>
        </w:tc>
      </w:tr>
      <w:tr>
        <w:tc>
          <w:tcPr>
            <w:tcW w:type="dxa" w:w="3561"/>
            <w:vAlign w:val="top"/>
          </w:tcPr>
          <w:p>
            <w:pPr>
              <w:spacing w:after="0"/>
            </w:pPr>
            <w:r>
              <w:rPr>
                <w:rFonts w:ascii="Times New Roman" w:hAnsi="Times New Roman"/>
                <w:sz w:val="14"/>
              </w:rPr>
              <w:t>Heb. 9:4</w:t>
            </w:r>
          </w:p>
        </w:tc>
        <w:tc>
          <w:tcPr>
            <w:tcW w:type="dxa" w:w="3561"/>
            <w:vAlign w:val="top"/>
          </w:tcPr>
          <w:p>
            <w:pPr>
              <w:spacing w:after="0"/>
            </w:pPr>
            <w:r>
              <w:rPr>
                <w:rFonts w:ascii="Times New Roman" w:hAnsi="Times New Roman"/>
                <w:sz w:val="14"/>
              </w:rPr>
              <w:t>Aaron’s rod that budded</w:t>
            </w:r>
          </w:p>
        </w:tc>
        <w:tc>
          <w:tcPr>
            <w:tcW w:type="dxa" w:w="3561"/>
            <w:vAlign w:val="top"/>
          </w:tcPr>
          <w:p>
            <w:pPr>
              <w:spacing w:after="0"/>
            </w:pPr>
            <w:r>
              <w:rPr>
                <w:rFonts w:ascii="Times New Roman" w:hAnsi="Times New Roman"/>
                <w:sz w:val="14"/>
              </w:rPr>
              <w:t>Later NT ark-associated inventory; avoid over-reading storage detail into Num. 17:10.</w:t>
            </w:r>
          </w:p>
        </w:tc>
      </w:tr>
      <w:tr>
        <w:tc>
          <w:tcPr>
            <w:tcW w:type="dxa" w:w="3561"/>
            <w:vAlign w:val="top"/>
          </w:tcPr>
          <w:p>
            <w:pPr>
              <w:spacing w:after="0"/>
            </w:pPr>
            <w:r>
              <w:rPr>
                <w:rFonts w:ascii="Times New Roman" w:hAnsi="Times New Roman"/>
                <w:sz w:val="14"/>
              </w:rPr>
              <w:t>Num. 17:12–13</w:t>
            </w:r>
          </w:p>
        </w:tc>
        <w:tc>
          <w:tcPr>
            <w:tcW w:type="dxa" w:w="3561"/>
            <w:vAlign w:val="top"/>
          </w:tcPr>
          <w:p>
            <w:pPr>
              <w:spacing w:after="0"/>
            </w:pPr>
            <w:r>
              <w:rPr>
                <w:rFonts w:ascii="Times New Roman" w:hAnsi="Times New Roman"/>
                <w:sz w:val="14"/>
              </w:rPr>
              <w:t>fear of approach</w:t>
            </w:r>
          </w:p>
        </w:tc>
        <w:tc>
          <w:tcPr>
            <w:tcW w:type="dxa" w:w="3561"/>
            <w:vAlign w:val="top"/>
          </w:tcPr>
          <w:p>
            <w:pPr>
              <w:spacing w:after="0"/>
            </w:pPr>
            <w:r>
              <w:rPr>
                <w:rFonts w:ascii="Times New Roman" w:hAnsi="Times New Roman"/>
                <w:sz w:val="14"/>
              </w:rPr>
              <w:t>Sets up chapter 18’s priest/Levite solution.</w:t>
            </w:r>
          </w:p>
        </w:tc>
      </w:tr>
    </w:tbl>
    <w:p>
      <w:pPr>
        <w:pStyle w:val="Heading1"/>
      </w:pPr>
      <w:r>
        <w:t>RESIDUAL UNCERTAINTIES</w:t>
      </w:r>
    </w:p>
    <w:p>
      <w:pPr/>
      <w:r>
        <w:rPr>
          <w:i w:val="0"/>
        </w:rPr>
        <w:t>The exact tribal arithmetic behind the twelve staffs need not be reconstructed beyond the narrator’s statement. The material from which the rods were made is not supplied. The almond’s resurrection/vigilance significance is expositional typology, not an inspired explanation within Numbers 17.</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17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