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NUMBERS 18</w:t>
      </w:r>
    </w:p>
    <w:p>
      <w:pPr>
        <w:pStyle w:val="Subtitle"/>
      </w:pPr>
      <w:r>
        <w:t>PRIESTS AND LEVITES REAFFIRMED • BEARING SANCTUARY RESPONSIBILITY • PRIESTHOOD AS A GIFT • HOLY PORTIONS • COVENANT OF SALT • “I AM THY PART” • TITHES FOR LEVI • A TITHE OF THE TITHE</w:t>
      </w:r>
    </w:p>
    <w:p>
      <w:pPr/>
      <w:r>
        <w:rPr>
          <w:i/>
        </w:rPr>
        <w:t>H. P. Mansfield Bible notes — checked and arranged in verse-by-verse Expositor style</w:t>
      </w:r>
    </w:p>
    <w:p>
      <w:pPr/>
      <w:r>
        <w:rPr>
          <w:i w:val="0"/>
        </w:rPr>
        <w:t>Source: HPB 03-Lev12-Num36.PDF, pp. 66–68; cross-checked with Mansfield’s Numbers Expositor Chapter 18.</w:t>
      </w:r>
    </w:p>
    <w:p>
      <w:pPr>
        <w:pStyle w:val="Heading1"/>
      </w:pPr>
      <w:r>
        <w:t>CHAPTER OVERVIEW</w:t>
      </w:r>
    </w:p>
    <w:p>
      <w:pPr/>
      <w:r>
        <w:rPr>
          <w:i w:val="0"/>
        </w:rPr>
        <w:t>Numbers 18 answers Israel’s fear at the end of chapter 17. Approach to Yahweh is possible, but the sanctuary has appointed guardians and mediators. Aaronic priests and Levites receive both privilege and accountability.</w:t>
      </w:r>
    </w:p>
    <w:p>
      <w:pPr/>
      <w:r>
        <w:rPr>
          <w:i w:val="0"/>
        </w:rPr>
        <w:t>The chapter also establishes material provision for those without a normal tribal land inheritance. Priests receive appointed holy portions; Levites receive Israel’s tithe for service, and in turn give the best tenth of that tithe to Yahweh for the priests.</w:t>
      </w:r>
    </w:p>
    <w:p>
      <w:pPr>
        <w:pStyle w:val="Heading1"/>
      </w:pPr>
      <w:r>
        <w:t>RESPONSIBILITY OF PRIESTS AND LEVITES — NUMBERS 18:1–7</w:t>
      </w:r>
    </w:p>
    <w:p>
      <w:pPr>
        <w:pStyle w:val="Heading2"/>
      </w:pPr>
      <w:r>
        <w:t>Numbers 18:1 — “bear the iniquity” of sanctuary and priesthood</w:t>
      </w:r>
    </w:p>
    <w:p>
      <w:pPr/>
      <w:r>
        <w:rPr>
          <w:i w:val="0"/>
        </w:rPr>
        <w:t>Aaron, his sons and his fathers’ house bear responsibility for iniquity connected with the sanctuary, while Aaron and his sons bear responsibility connected with the priesthood.</w:t>
      </w:r>
    </w:p>
    <w:p>
      <w:pPr/>
      <w:r>
        <w:rPr>
          <w:i w:val="0"/>
        </w:rPr>
        <w:t>This is accountable responsibility for sacred offences and failures, not a magical absorption of other people’s guilt into the priests.</w:t>
      </w:r>
    </w:p>
    <w:p>
      <w:pPr>
        <w:pStyle w:val="Heading2"/>
      </w:pPr>
      <w:r>
        <w:t>Numbers 18:2–4 — Levi joined to Aaron but kept from priestly intrusion</w:t>
      </w:r>
    </w:p>
    <w:p>
      <w:pPr/>
      <w:r>
        <w:rPr>
          <w:i w:val="0"/>
        </w:rPr>
        <w:t>The tribe of Levi is brought near and joined to Aaron to assist in Tent service. They keep the charge of the Tent but must not approach the holy vessels or altar in the priestly sense, lest both they and the priests die.</w:t>
      </w:r>
    </w:p>
    <w:p>
      <w:pPr/>
      <w:r>
        <w:rPr>
          <w:i w:val="0"/>
        </w:rPr>
        <w:t>Levitical assistance is therefore real but bounded.</w:t>
      </w:r>
    </w:p>
    <w:p>
      <w:pPr>
        <w:pStyle w:val="Heading2"/>
      </w:pPr>
      <w:r>
        <w:t>Numbers 18:5 — guarding sanctuary and altar prevents wrath</w:t>
      </w:r>
    </w:p>
    <w:p>
      <w:pPr/>
      <w:r>
        <w:rPr>
          <w:i w:val="0"/>
        </w:rPr>
        <w:t>Priests keep the charge of sanctuary and altar so that wrath does not again fall upon Israel. The rules are an answer to the recent tragedies of unauthorised approach.</w:t>
      </w:r>
    </w:p>
    <w:p>
      <w:pPr>
        <w:pStyle w:val="Heading2"/>
      </w:pPr>
      <w:r>
        <w:t>Numbers 18:6–7 — Levites and priesthood are gifts</w:t>
      </w:r>
    </w:p>
    <w:p>
      <w:pPr/>
      <w:r>
        <w:rPr>
          <w:i w:val="0"/>
        </w:rPr>
        <w:t>Yahweh says He has taken the Levites as a gift to the priests. Aaron and his sons must keep the priesthood for everything connected with altar and inside the veil.</w:t>
      </w:r>
    </w:p>
    <w:p>
      <w:pPr/>
      <w:r>
        <w:rPr>
          <w:i w:val="0"/>
        </w:rPr>
        <w:t>The priesthood is described as avodat mattanah, a service/work of gift. It is Yahweh’s gift and commission, not a status to seize. A zar, unauthorised outsider, who intrudes incurs the stated covenant judgment.</w:t>
      </w:r>
    </w:p>
    <w:p>
      <w:pPr>
        <w:pStyle w:val="Heading1"/>
      </w:pPr>
      <w:r>
        <w:t>THE PRIESTS’ PORTIONS — NUMBERS 18:8–19</w:t>
      </w:r>
    </w:p>
    <w:p>
      <w:pPr>
        <w:pStyle w:val="Heading2"/>
      </w:pPr>
      <w:r>
        <w:t>Numbers 18:8–10 — most holy portions</w:t>
      </w:r>
    </w:p>
    <w:p>
      <w:pPr/>
      <w:r>
        <w:rPr>
          <w:i w:val="0"/>
        </w:rPr>
        <w:t>Yahweh entrusts Aaron with specified terumoth/contributions and portions of grain, sin/purification and guilt offerings reserved from the altar fire. These most holy portions are eaten by qualified priestly males in a holy place.</w:t>
      </w:r>
    </w:p>
    <w:p>
      <w:pPr/>
      <w:r>
        <w:rPr>
          <w:i w:val="0"/>
        </w:rPr>
        <w:t>KJV “meat offering” is grain/meal offering.</w:t>
      </w:r>
    </w:p>
    <w:p>
      <w:pPr>
        <w:pStyle w:val="Heading2"/>
      </w:pPr>
      <w:r>
        <w:t>Numbers 18:11–13 — wave gifts and firstfruits</w:t>
      </w:r>
    </w:p>
    <w:p>
      <w:pPr/>
      <w:r>
        <w:rPr>
          <w:i w:val="0"/>
        </w:rPr>
        <w:t>Other contributions, wave offerings and first ripe produce belong to the priestly household; every ceremonially clean household member may eat those less restricted portions.</w:t>
      </w:r>
    </w:p>
    <w:p>
      <w:pPr/>
      <w:r>
        <w:rPr>
          <w:i w:val="0"/>
        </w:rPr>
        <w:t>The distinction between most-holy male-priest portions and broader clean-household portions should be preserved.</w:t>
      </w:r>
    </w:p>
    <w:p>
      <w:pPr>
        <w:pStyle w:val="Heading2"/>
      </w:pPr>
      <w:r>
        <w:t>Numbers 18:14–18 — devoted things and firstborn</w:t>
      </w:r>
    </w:p>
    <w:p>
      <w:pPr/>
      <w:r>
        <w:rPr>
          <w:i w:val="0"/>
        </w:rPr>
        <w:t>Things placed under cherem/devotion and firstborn rights belong to Yahweh’s priestly system. Firstborn humans are redeemed, as are firstborn animals not suitable for sacrifice; firstborn cattle, sheep and goats are not redeemed but their blood/fat are offered and appointed portions belong to the priest.</w:t>
      </w:r>
    </w:p>
    <w:p>
      <w:pPr/>
      <w:r>
        <w:rPr>
          <w:i w:val="0"/>
        </w:rPr>
        <w:t>Verse 16 fixes human firstborn redemption from one month old at five sanctuary shekels.</w:t>
      </w:r>
    </w:p>
    <w:p>
      <w:pPr>
        <w:pStyle w:val="Heading2"/>
      </w:pPr>
      <w:r>
        <w:t>Numbers 18:19 — covenant of salt</w:t>
      </w:r>
    </w:p>
    <w:p>
      <w:pPr/>
      <w:r>
        <w:rPr>
          <w:i w:val="0"/>
        </w:rPr>
        <w:t>Yahweh calls the enduring grant of holy contributions to Aaron and his descendants “a covenant of salt.” Salt commonly accompanies offerings and is associated with permanence/preservation.</w:t>
      </w:r>
    </w:p>
    <w:p>
      <w:pPr/>
      <w:r>
        <w:rPr>
          <w:i w:val="0"/>
        </w:rPr>
        <w:t>The exact symbolism is not explained in this verse; “permanent/enduring covenant” is safer than making a detailed chemistry-based doctrine.</w:t>
      </w:r>
    </w:p>
    <w:p>
      <w:pPr>
        <w:pStyle w:val="Heading1"/>
      </w:pPr>
      <w:r>
        <w:t>YAHWEH THE INHERITANCE — NUMBERS 18:20–24</w:t>
      </w:r>
    </w:p>
    <w:p>
      <w:pPr>
        <w:pStyle w:val="Heading2"/>
      </w:pPr>
      <w:r>
        <w:t>Numbers 18:20 — “I am thy part and thine inheritance”</w:t>
      </w:r>
    </w:p>
    <w:p>
      <w:pPr/>
      <w:r>
        <w:rPr>
          <w:i w:val="0"/>
        </w:rPr>
        <w:t>Aaron receives no ordinary territorial share among Israel. Yahweh Himself is declared Aaron’s portion and inheritance.</w:t>
      </w:r>
    </w:p>
    <w:p>
      <w:pPr/>
      <w:r>
        <w:rPr>
          <w:i w:val="0"/>
        </w:rPr>
        <w:t>This is the theological centre of priestly privilege: dependence upon and relationship to Yahweh rather than autonomous landed wealth.</w:t>
      </w:r>
    </w:p>
    <w:p>
      <w:pPr>
        <w:pStyle w:val="Heading2"/>
      </w:pPr>
      <w:r>
        <w:t>Numbers 18:21–24 — ma‘aser, the tithe, supports Levi</w:t>
      </w:r>
    </w:p>
    <w:p>
      <w:pPr/>
      <w:r>
        <w:rPr>
          <w:i w:val="0"/>
        </w:rPr>
        <w:t>Yahweh gives Israel’s tithe to the Levites as their inheritance in return for Tent service. They likewise have no normal tribal inheritance among Israel.</w:t>
      </w:r>
    </w:p>
    <w:p>
      <w:pPr/>
      <w:r>
        <w:rPr>
          <w:i w:val="0"/>
        </w:rPr>
        <w:t>The chapter’s direct concern is this Levitical tithe. Mansfield’s broader reconstruction of multiple tithes from Deuteronomy and later practice is a separate Torah synthesis, not all contained in Numbers 18.</w:t>
      </w:r>
    </w:p>
    <w:p>
      <w:pPr>
        <w:pStyle w:val="Heading1"/>
      </w:pPr>
      <w:r>
        <w:t>LEVITES GIVE A TITHE OF THE TITHE — NUMBERS 18:25–32</w:t>
      </w:r>
    </w:p>
    <w:p>
      <w:pPr>
        <w:pStyle w:val="Heading2"/>
      </w:pPr>
      <w:r>
        <w:t>Numbers 18:25–28 — Levites also present Yahweh’s contribution</w:t>
      </w:r>
    </w:p>
    <w:p>
      <w:pPr/>
      <w:r>
        <w:rPr>
          <w:i w:val="0"/>
        </w:rPr>
        <w:t>From the tithes received, Levites must offer a tenth as Yahweh’s terumah. It is reckoned as though it were their own grain-floor and winepress increase and is given to Aaron the priest.</w:t>
      </w:r>
    </w:p>
    <w:p>
      <w:pPr/>
      <w:r>
        <w:rPr>
          <w:i w:val="0"/>
        </w:rPr>
        <w:t>Receiving support for sacred service does not exempt the recipient from honouring Yahweh.</w:t>
      </w:r>
    </w:p>
    <w:p>
      <w:pPr>
        <w:pStyle w:val="Heading2"/>
      </w:pPr>
      <w:r>
        <w:t>Numbers 18:29–30 — the best part is offered</w:t>
      </w:r>
    </w:p>
    <w:p>
      <w:pPr/>
      <w:r>
        <w:rPr>
          <w:i w:val="0"/>
        </w:rPr>
        <w:t>The contribution must be made from the best/fat portion of what the Levites receive. After that best portion is lifted out for Yahweh, the remainder is reckoned as the Levites’ own produce.</w:t>
      </w:r>
    </w:p>
    <w:p>
      <w:pPr>
        <w:pStyle w:val="Heading2"/>
      </w:pPr>
      <w:r>
        <w:t>Numbers 18:31–32 — household use without profaning holy things</w:t>
      </w:r>
    </w:p>
    <w:p>
      <w:pPr/>
      <w:r>
        <w:rPr>
          <w:i w:val="0"/>
        </w:rPr>
        <w:t>Levites and households may eat the remainder in any place as their reward for Tent service. They bear no guilt when the best portion has first been presented.</w:t>
      </w:r>
    </w:p>
    <w:p>
      <w:pPr/>
      <w:r>
        <w:rPr>
          <w:i w:val="0"/>
        </w:rPr>
        <w:t>They must not profane Israel’s holy contributions. Sacred provision remains accountable stewardship.</w:t>
      </w:r>
    </w:p>
    <w:p>
      <w:pPr>
        <w:pStyle w:val="Heading1"/>
      </w:pPr>
      <w:r>
        <w:t>PRINCIPAL THEMES</w:t>
      </w:r>
    </w:p>
    <w:p>
      <w:pPr>
        <w:ind w:left="259" w:hanging="202"/>
      </w:pPr>
      <w:r>
        <w:rPr>
          <w:b/>
        </w:rPr>
        <w:t xml:space="preserve">• </w:t>
      </w:r>
      <w:r>
        <w:t>Nearness to the sanctuary carries responsibility as well as privilege.</w:t>
      </w:r>
    </w:p>
    <w:p>
      <w:pPr>
        <w:ind w:left="259" w:hanging="202"/>
      </w:pPr>
      <w:r>
        <w:rPr>
          <w:b/>
        </w:rPr>
        <w:t xml:space="preserve">• </w:t>
      </w:r>
      <w:r>
        <w:t>Levites assist Aaronic priests but do not become priests.</w:t>
      </w:r>
    </w:p>
    <w:p>
      <w:pPr>
        <w:ind w:left="259" w:hanging="202"/>
      </w:pPr>
      <w:r>
        <w:rPr>
          <w:b/>
        </w:rPr>
        <w:t xml:space="preserve">• </w:t>
      </w:r>
      <w:r>
        <w:t>The priesthood is explicitly a “service of gift,” not a prize to seize.</w:t>
      </w:r>
    </w:p>
    <w:p>
      <w:pPr>
        <w:ind w:left="259" w:hanging="202"/>
      </w:pPr>
      <w:r>
        <w:rPr>
          <w:b/>
        </w:rPr>
        <w:t xml:space="preserve">• </w:t>
      </w:r>
      <w:r>
        <w:t>“Bear the iniquity” describes accountable sacred responsibility, not magical guilt transfer.</w:t>
      </w:r>
    </w:p>
    <w:p>
      <w:pPr>
        <w:ind w:left="259" w:hanging="202"/>
      </w:pPr>
      <w:r>
        <w:rPr>
          <w:b/>
        </w:rPr>
        <w:t xml:space="preserve">• </w:t>
      </w:r>
      <w:r>
        <w:t>Priestly food regulations distinguish most-holy portions from household-accessible portions.</w:t>
      </w:r>
    </w:p>
    <w:p>
      <w:pPr>
        <w:ind w:left="259" w:hanging="202"/>
      </w:pPr>
      <w:r>
        <w:rPr>
          <w:b/>
        </w:rPr>
        <w:t xml:space="preserve">• </w:t>
      </w:r>
      <w:r>
        <w:t>Firstborn humans are redeemed; clean sacrificial firstborn animals are not.</w:t>
      </w:r>
    </w:p>
    <w:p>
      <w:pPr>
        <w:ind w:left="259" w:hanging="202"/>
      </w:pPr>
      <w:r>
        <w:rPr>
          <w:b/>
        </w:rPr>
        <w:t xml:space="preserve">• </w:t>
      </w:r>
      <w:r>
        <w:t>The covenant of salt expresses an enduring grant, though its precise symbolism is not defined here.</w:t>
      </w:r>
    </w:p>
    <w:p>
      <w:pPr>
        <w:ind w:left="259" w:hanging="202"/>
      </w:pPr>
      <w:r>
        <w:rPr>
          <w:b/>
        </w:rPr>
        <w:t xml:space="preserve">• </w:t>
      </w:r>
      <w:r>
        <w:t>Yahweh Himself is Aaron’s part and inheritance.</w:t>
      </w:r>
    </w:p>
    <w:p>
      <w:pPr>
        <w:ind w:left="259" w:hanging="202"/>
      </w:pPr>
      <w:r>
        <w:rPr>
          <w:b/>
        </w:rPr>
        <w:t xml:space="preserve">• </w:t>
      </w:r>
      <w:r>
        <w:t>Levites receive the tithe for service and then give Yahweh a tenth of that tithe.</w:t>
      </w:r>
    </w:p>
    <w:p>
      <w:pPr>
        <w:ind w:left="259" w:hanging="202"/>
      </w:pPr>
      <w:r>
        <w:rPr>
          <w:b/>
        </w:rPr>
        <w:t xml:space="preserve">• </w:t>
      </w:r>
      <w:r>
        <w:t>The best of received provision is offered before the remainder is enjoyed.</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pPr>
            <w:r>
              <w:rPr>
                <w:rFonts w:ascii="Times New Roman" w:hAnsi="Times New Roman"/>
                <w:sz w:val="14"/>
              </w:rPr>
              <w:t>Num. 18:1</w:t>
            </w:r>
          </w:p>
        </w:tc>
        <w:tc>
          <w:tcPr>
            <w:tcW w:type="dxa" w:w="3561"/>
            <w:vAlign w:val="top"/>
          </w:tcPr>
          <w:p>
            <w:pPr>
              <w:spacing w:after="0"/>
            </w:pPr>
            <w:r>
              <w:rPr>
                <w:rFonts w:ascii="Times New Roman" w:hAnsi="Times New Roman"/>
                <w:sz w:val="14"/>
              </w:rPr>
              <w:t>bear sanctuary/priesthood iniquity</w:t>
            </w:r>
          </w:p>
        </w:tc>
        <w:tc>
          <w:tcPr>
            <w:tcW w:type="dxa" w:w="3561"/>
            <w:vAlign w:val="top"/>
          </w:tcPr>
          <w:p>
            <w:pPr>
              <w:spacing w:after="0"/>
            </w:pPr>
            <w:r>
              <w:rPr>
                <w:rFonts w:ascii="Times New Roman" w:hAnsi="Times New Roman"/>
                <w:sz w:val="14"/>
              </w:rPr>
              <w:t>Responsibility for sacred offences and administration.</w:t>
            </w:r>
          </w:p>
        </w:tc>
      </w:tr>
      <w:tr>
        <w:tc>
          <w:tcPr>
            <w:tcW w:type="dxa" w:w="3561"/>
            <w:vAlign w:val="top"/>
          </w:tcPr>
          <w:p>
            <w:pPr>
              <w:spacing w:after="0"/>
            </w:pPr>
            <w:r>
              <w:rPr>
                <w:rFonts w:ascii="Times New Roman" w:hAnsi="Times New Roman"/>
                <w:sz w:val="14"/>
              </w:rPr>
              <w:t>Num. 18:2–4</w:t>
            </w:r>
          </w:p>
        </w:tc>
        <w:tc>
          <w:tcPr>
            <w:tcW w:type="dxa" w:w="3561"/>
            <w:vAlign w:val="top"/>
          </w:tcPr>
          <w:p>
            <w:pPr>
              <w:spacing w:after="0"/>
            </w:pPr>
            <w:r>
              <w:rPr>
                <w:rFonts w:ascii="Times New Roman" w:hAnsi="Times New Roman"/>
                <w:sz w:val="14"/>
              </w:rPr>
              <w:t>Levites joined but bounded</w:t>
            </w:r>
          </w:p>
        </w:tc>
        <w:tc>
          <w:tcPr>
            <w:tcW w:type="dxa" w:w="3561"/>
            <w:vAlign w:val="top"/>
          </w:tcPr>
          <w:p>
            <w:pPr>
              <w:spacing w:after="0"/>
            </w:pPr>
            <w:r>
              <w:rPr>
                <w:rFonts w:ascii="Times New Roman" w:hAnsi="Times New Roman"/>
                <w:sz w:val="14"/>
              </w:rPr>
              <w:t>Assist priests; no priestly intrusion into holy vessels/altar.</w:t>
            </w:r>
          </w:p>
        </w:tc>
      </w:tr>
      <w:tr>
        <w:tc>
          <w:tcPr>
            <w:tcW w:type="dxa" w:w="3561"/>
            <w:vAlign w:val="top"/>
          </w:tcPr>
          <w:p>
            <w:pPr>
              <w:spacing w:after="0"/>
            </w:pPr>
            <w:r>
              <w:rPr>
                <w:rFonts w:ascii="Times New Roman" w:hAnsi="Times New Roman"/>
                <w:sz w:val="14"/>
              </w:rPr>
              <w:t>Num. 18:6</w:t>
            </w:r>
          </w:p>
        </w:tc>
        <w:tc>
          <w:tcPr>
            <w:tcW w:type="dxa" w:w="3561"/>
            <w:vAlign w:val="top"/>
          </w:tcPr>
          <w:p>
            <w:pPr>
              <w:spacing w:after="0"/>
            </w:pPr>
            <w:r>
              <w:rPr>
                <w:rFonts w:ascii="Times New Roman" w:hAnsi="Times New Roman"/>
                <w:sz w:val="14"/>
              </w:rPr>
              <w:t>Levites as gift</w:t>
            </w:r>
          </w:p>
        </w:tc>
        <w:tc>
          <w:tcPr>
            <w:tcW w:type="dxa" w:w="3561"/>
            <w:vAlign w:val="top"/>
          </w:tcPr>
          <w:p>
            <w:pPr>
              <w:spacing w:after="0"/>
            </w:pPr>
            <w:r>
              <w:rPr>
                <w:rFonts w:ascii="Times New Roman" w:hAnsi="Times New Roman"/>
                <w:sz w:val="14"/>
              </w:rPr>
              <w:t>Yahweh gives them to Aaronic service.</w:t>
            </w:r>
          </w:p>
        </w:tc>
      </w:tr>
      <w:tr>
        <w:tc>
          <w:tcPr>
            <w:tcW w:type="dxa" w:w="3561"/>
            <w:vAlign w:val="top"/>
          </w:tcPr>
          <w:p>
            <w:pPr>
              <w:spacing w:after="0"/>
            </w:pPr>
            <w:r>
              <w:rPr>
                <w:rFonts w:ascii="Times New Roman" w:hAnsi="Times New Roman"/>
                <w:sz w:val="14"/>
              </w:rPr>
              <w:t>Num. 18:7</w:t>
            </w:r>
          </w:p>
        </w:tc>
        <w:tc>
          <w:tcPr>
            <w:tcW w:type="dxa" w:w="3561"/>
            <w:vAlign w:val="top"/>
          </w:tcPr>
          <w:p>
            <w:pPr>
              <w:spacing w:after="0"/>
            </w:pPr>
            <w:r>
              <w:rPr>
                <w:rFonts w:ascii="Times New Roman" w:hAnsi="Times New Roman"/>
                <w:sz w:val="14"/>
              </w:rPr>
              <w:t>avodat mattanah</w:t>
            </w:r>
          </w:p>
        </w:tc>
        <w:tc>
          <w:tcPr>
            <w:tcW w:type="dxa" w:w="3561"/>
            <w:vAlign w:val="top"/>
          </w:tcPr>
          <w:p>
            <w:pPr>
              <w:spacing w:after="0"/>
            </w:pPr>
            <w:r>
              <w:rPr>
                <w:rFonts w:ascii="Times New Roman" w:hAnsi="Times New Roman"/>
                <w:sz w:val="14"/>
              </w:rPr>
              <w:t>Priestly service as a gift.</w:t>
            </w:r>
          </w:p>
        </w:tc>
      </w:tr>
      <w:tr>
        <w:tc>
          <w:tcPr>
            <w:tcW w:type="dxa" w:w="3561"/>
            <w:vAlign w:val="top"/>
          </w:tcPr>
          <w:p>
            <w:pPr>
              <w:spacing w:after="0"/>
            </w:pPr>
            <w:r>
              <w:rPr>
                <w:rFonts w:ascii="Times New Roman" w:hAnsi="Times New Roman"/>
                <w:sz w:val="14"/>
              </w:rPr>
              <w:t>Num. 18:7</w:t>
            </w:r>
          </w:p>
        </w:tc>
        <w:tc>
          <w:tcPr>
            <w:tcW w:type="dxa" w:w="3561"/>
            <w:vAlign w:val="top"/>
          </w:tcPr>
          <w:p>
            <w:pPr>
              <w:spacing w:after="0"/>
            </w:pPr>
            <w:r>
              <w:rPr>
                <w:rFonts w:ascii="Times New Roman" w:hAnsi="Times New Roman"/>
                <w:sz w:val="14"/>
              </w:rPr>
              <w:t>zar</w:t>
            </w:r>
          </w:p>
        </w:tc>
        <w:tc>
          <w:tcPr>
            <w:tcW w:type="dxa" w:w="3561"/>
            <w:vAlign w:val="top"/>
          </w:tcPr>
          <w:p>
            <w:pPr>
              <w:spacing w:after="0"/>
            </w:pPr>
            <w:r>
              <w:rPr>
                <w:rFonts w:ascii="Times New Roman" w:hAnsi="Times New Roman"/>
                <w:sz w:val="14"/>
              </w:rPr>
              <w:t>Unauthorised outsider/intruder.</w:t>
            </w:r>
          </w:p>
        </w:tc>
      </w:tr>
      <w:tr>
        <w:tc>
          <w:tcPr>
            <w:tcW w:type="dxa" w:w="3561"/>
            <w:vAlign w:val="top"/>
          </w:tcPr>
          <w:p>
            <w:pPr>
              <w:spacing w:after="0"/>
            </w:pPr>
            <w:r>
              <w:rPr>
                <w:rFonts w:ascii="Times New Roman" w:hAnsi="Times New Roman"/>
                <w:sz w:val="14"/>
              </w:rPr>
              <w:t>Num. 18:8</w:t>
            </w:r>
          </w:p>
        </w:tc>
        <w:tc>
          <w:tcPr>
            <w:tcW w:type="dxa" w:w="3561"/>
            <w:vAlign w:val="top"/>
          </w:tcPr>
          <w:p>
            <w:pPr>
              <w:spacing w:after="0"/>
            </w:pPr>
            <w:r>
              <w:rPr>
                <w:rFonts w:ascii="Times New Roman" w:hAnsi="Times New Roman"/>
                <w:sz w:val="14"/>
              </w:rPr>
              <w:t>terumah</w:t>
            </w:r>
          </w:p>
        </w:tc>
        <w:tc>
          <w:tcPr>
            <w:tcW w:type="dxa" w:w="3561"/>
            <w:vAlign w:val="top"/>
          </w:tcPr>
          <w:p>
            <w:pPr>
              <w:spacing w:after="0"/>
            </w:pPr>
            <w:r>
              <w:rPr>
                <w:rFonts w:ascii="Times New Roman" w:hAnsi="Times New Roman"/>
                <w:sz w:val="14"/>
              </w:rPr>
              <w:t>Contribution/heave portion belonging to Yahweh’s priestly provision.</w:t>
            </w:r>
          </w:p>
        </w:tc>
      </w:tr>
      <w:tr>
        <w:tc>
          <w:tcPr>
            <w:tcW w:type="dxa" w:w="3561"/>
            <w:vAlign w:val="top"/>
          </w:tcPr>
          <w:p>
            <w:pPr>
              <w:spacing w:after="0"/>
            </w:pPr>
            <w:r>
              <w:rPr>
                <w:rFonts w:ascii="Times New Roman" w:hAnsi="Times New Roman"/>
                <w:sz w:val="14"/>
              </w:rPr>
              <w:t>Num. 18:9</w:t>
            </w:r>
          </w:p>
        </w:tc>
        <w:tc>
          <w:tcPr>
            <w:tcW w:type="dxa" w:w="3561"/>
            <w:vAlign w:val="top"/>
          </w:tcPr>
          <w:p>
            <w:pPr>
              <w:spacing w:after="0"/>
            </w:pPr>
            <w:r>
              <w:rPr>
                <w:rFonts w:ascii="Times New Roman" w:hAnsi="Times New Roman"/>
                <w:sz w:val="14"/>
              </w:rPr>
              <w:t>“meat offering”</w:t>
            </w:r>
          </w:p>
        </w:tc>
        <w:tc>
          <w:tcPr>
            <w:tcW w:type="dxa" w:w="3561"/>
            <w:vAlign w:val="top"/>
          </w:tcPr>
          <w:p>
            <w:pPr>
              <w:spacing w:after="0"/>
            </w:pPr>
            <w:r>
              <w:rPr>
                <w:rFonts w:ascii="Times New Roman" w:hAnsi="Times New Roman"/>
                <w:sz w:val="14"/>
              </w:rPr>
              <w:t>Grain/meal offering.</w:t>
            </w:r>
          </w:p>
        </w:tc>
      </w:tr>
      <w:tr>
        <w:tc>
          <w:tcPr>
            <w:tcW w:type="dxa" w:w="3561"/>
            <w:vAlign w:val="top"/>
          </w:tcPr>
          <w:p>
            <w:pPr>
              <w:spacing w:after="0"/>
            </w:pPr>
            <w:r>
              <w:rPr>
                <w:rFonts w:ascii="Times New Roman" w:hAnsi="Times New Roman"/>
                <w:sz w:val="14"/>
              </w:rPr>
              <w:t>Num. 18:11–13</w:t>
            </w:r>
          </w:p>
        </w:tc>
        <w:tc>
          <w:tcPr>
            <w:tcW w:type="dxa" w:w="3561"/>
            <w:vAlign w:val="top"/>
          </w:tcPr>
          <w:p>
            <w:pPr>
              <w:spacing w:after="0"/>
            </w:pPr>
            <w:r>
              <w:rPr>
                <w:rFonts w:ascii="Times New Roman" w:hAnsi="Times New Roman"/>
                <w:sz w:val="14"/>
              </w:rPr>
              <w:t>clean priestly household</w:t>
            </w:r>
          </w:p>
        </w:tc>
        <w:tc>
          <w:tcPr>
            <w:tcW w:type="dxa" w:w="3561"/>
            <w:vAlign w:val="top"/>
          </w:tcPr>
          <w:p>
            <w:pPr>
              <w:spacing w:after="0"/>
            </w:pPr>
            <w:r>
              <w:rPr>
                <w:rFonts w:ascii="Times New Roman" w:hAnsi="Times New Roman"/>
                <w:sz w:val="14"/>
              </w:rPr>
              <w:t>Broader eating permission for specified less-restricted gifts.</w:t>
            </w:r>
          </w:p>
        </w:tc>
      </w:tr>
      <w:tr>
        <w:tc>
          <w:tcPr>
            <w:tcW w:type="dxa" w:w="3561"/>
            <w:vAlign w:val="top"/>
          </w:tcPr>
          <w:p>
            <w:pPr>
              <w:spacing w:after="0"/>
            </w:pPr>
            <w:r>
              <w:rPr>
                <w:rFonts w:ascii="Times New Roman" w:hAnsi="Times New Roman"/>
                <w:sz w:val="14"/>
              </w:rPr>
              <w:t>Num. 18:15–16</w:t>
            </w:r>
          </w:p>
        </w:tc>
        <w:tc>
          <w:tcPr>
            <w:tcW w:type="dxa" w:w="3561"/>
            <w:vAlign w:val="top"/>
          </w:tcPr>
          <w:p>
            <w:pPr>
              <w:spacing w:after="0"/>
            </w:pPr>
            <w:r>
              <w:rPr>
                <w:rFonts w:ascii="Times New Roman" w:hAnsi="Times New Roman"/>
                <w:sz w:val="14"/>
              </w:rPr>
              <w:t>human firstborn redemption</w:t>
            </w:r>
          </w:p>
        </w:tc>
        <w:tc>
          <w:tcPr>
            <w:tcW w:type="dxa" w:w="3561"/>
            <w:vAlign w:val="top"/>
          </w:tcPr>
          <w:p>
            <w:pPr>
              <w:spacing w:after="0"/>
            </w:pPr>
            <w:r>
              <w:rPr>
                <w:rFonts w:ascii="Times New Roman" w:hAnsi="Times New Roman"/>
                <w:sz w:val="14"/>
              </w:rPr>
              <w:t>Five sanctuary shekels from one month old.</w:t>
            </w:r>
          </w:p>
        </w:tc>
      </w:tr>
      <w:tr>
        <w:tc>
          <w:tcPr>
            <w:tcW w:type="dxa" w:w="3561"/>
            <w:vAlign w:val="top"/>
          </w:tcPr>
          <w:p>
            <w:pPr>
              <w:spacing w:after="0"/>
            </w:pPr>
            <w:r>
              <w:rPr>
                <w:rFonts w:ascii="Times New Roman" w:hAnsi="Times New Roman"/>
                <w:sz w:val="14"/>
              </w:rPr>
              <w:t>Num. 18:17–18</w:t>
            </w:r>
          </w:p>
        </w:tc>
        <w:tc>
          <w:tcPr>
            <w:tcW w:type="dxa" w:w="3561"/>
            <w:vAlign w:val="top"/>
          </w:tcPr>
          <w:p>
            <w:pPr>
              <w:spacing w:after="0"/>
            </w:pPr>
            <w:r>
              <w:rPr>
                <w:rFonts w:ascii="Times New Roman" w:hAnsi="Times New Roman"/>
                <w:sz w:val="14"/>
              </w:rPr>
              <w:t>clean animal firstborn</w:t>
            </w:r>
          </w:p>
        </w:tc>
        <w:tc>
          <w:tcPr>
            <w:tcW w:type="dxa" w:w="3561"/>
            <w:vAlign w:val="top"/>
          </w:tcPr>
          <w:p>
            <w:pPr>
              <w:spacing w:after="0"/>
            </w:pPr>
            <w:r>
              <w:rPr>
                <w:rFonts w:ascii="Times New Roman" w:hAnsi="Times New Roman"/>
                <w:sz w:val="14"/>
              </w:rPr>
              <w:t>Not redeemed; sacrificial portions prescribed.</w:t>
            </w:r>
          </w:p>
        </w:tc>
      </w:tr>
      <w:tr>
        <w:tc>
          <w:tcPr>
            <w:tcW w:type="dxa" w:w="3561"/>
            <w:vAlign w:val="top"/>
          </w:tcPr>
          <w:p>
            <w:pPr>
              <w:spacing w:after="0"/>
            </w:pPr>
            <w:r>
              <w:rPr>
                <w:rFonts w:ascii="Times New Roman" w:hAnsi="Times New Roman"/>
                <w:sz w:val="14"/>
              </w:rPr>
              <w:t>Num. 18:19</w:t>
            </w:r>
          </w:p>
        </w:tc>
        <w:tc>
          <w:tcPr>
            <w:tcW w:type="dxa" w:w="3561"/>
            <w:vAlign w:val="top"/>
          </w:tcPr>
          <w:p>
            <w:pPr>
              <w:spacing w:after="0"/>
            </w:pPr>
            <w:r>
              <w:rPr>
                <w:rFonts w:ascii="Times New Roman" w:hAnsi="Times New Roman"/>
                <w:sz w:val="14"/>
              </w:rPr>
              <w:t>covenant of salt</w:t>
            </w:r>
          </w:p>
        </w:tc>
        <w:tc>
          <w:tcPr>
            <w:tcW w:type="dxa" w:w="3561"/>
            <w:vAlign w:val="top"/>
          </w:tcPr>
          <w:p>
            <w:pPr>
              <w:spacing w:after="0"/>
            </w:pPr>
            <w:r>
              <w:rPr>
                <w:rFonts w:ascii="Times New Roman" w:hAnsi="Times New Roman"/>
                <w:sz w:val="14"/>
              </w:rPr>
              <w:t>Enduring covenant imagery; detailed symbolic reason unstated.</w:t>
            </w:r>
          </w:p>
        </w:tc>
      </w:tr>
      <w:tr>
        <w:tc>
          <w:tcPr>
            <w:tcW w:type="dxa" w:w="3561"/>
            <w:vAlign w:val="top"/>
          </w:tcPr>
          <w:p>
            <w:pPr>
              <w:spacing w:after="0"/>
            </w:pPr>
            <w:r>
              <w:rPr>
                <w:rFonts w:ascii="Times New Roman" w:hAnsi="Times New Roman"/>
                <w:sz w:val="14"/>
              </w:rPr>
              <w:t>Num. 18:20</w:t>
            </w:r>
          </w:p>
        </w:tc>
        <w:tc>
          <w:tcPr>
            <w:tcW w:type="dxa" w:w="3561"/>
            <w:vAlign w:val="top"/>
          </w:tcPr>
          <w:p>
            <w:pPr>
              <w:spacing w:after="0"/>
            </w:pPr>
            <w:r>
              <w:rPr>
                <w:rFonts w:ascii="Times New Roman" w:hAnsi="Times New Roman"/>
                <w:sz w:val="14"/>
              </w:rPr>
              <w:t>Yahweh = portion/inheritance</w:t>
            </w:r>
          </w:p>
        </w:tc>
        <w:tc>
          <w:tcPr>
            <w:tcW w:type="dxa" w:w="3561"/>
            <w:vAlign w:val="top"/>
          </w:tcPr>
          <w:p>
            <w:pPr>
              <w:spacing w:after="0"/>
            </w:pPr>
            <w:r>
              <w:rPr>
                <w:rFonts w:ascii="Times New Roman" w:hAnsi="Times New Roman"/>
                <w:sz w:val="14"/>
              </w:rPr>
              <w:t>Priestly non-land inheritance.</w:t>
            </w:r>
          </w:p>
        </w:tc>
      </w:tr>
      <w:tr>
        <w:tc>
          <w:tcPr>
            <w:tcW w:type="dxa" w:w="3561"/>
            <w:vAlign w:val="top"/>
          </w:tcPr>
          <w:p>
            <w:pPr>
              <w:spacing w:after="0"/>
            </w:pPr>
            <w:r>
              <w:rPr>
                <w:rFonts w:ascii="Times New Roman" w:hAnsi="Times New Roman"/>
                <w:sz w:val="14"/>
              </w:rPr>
              <w:t>Num. 18:21</w:t>
            </w:r>
          </w:p>
        </w:tc>
        <w:tc>
          <w:tcPr>
            <w:tcW w:type="dxa" w:w="3561"/>
            <w:vAlign w:val="top"/>
          </w:tcPr>
          <w:p>
            <w:pPr>
              <w:spacing w:after="0"/>
            </w:pPr>
            <w:r>
              <w:rPr>
                <w:rFonts w:ascii="Times New Roman" w:hAnsi="Times New Roman"/>
                <w:sz w:val="14"/>
              </w:rPr>
              <w:t>ma‘aser</w:t>
            </w:r>
          </w:p>
        </w:tc>
        <w:tc>
          <w:tcPr>
            <w:tcW w:type="dxa" w:w="3561"/>
            <w:vAlign w:val="top"/>
          </w:tcPr>
          <w:p>
            <w:pPr>
              <w:spacing w:after="0"/>
            </w:pPr>
            <w:r>
              <w:rPr>
                <w:rFonts w:ascii="Times New Roman" w:hAnsi="Times New Roman"/>
                <w:sz w:val="14"/>
              </w:rPr>
              <w:t>Tithe assigned to Levites for service.</w:t>
            </w:r>
          </w:p>
        </w:tc>
      </w:tr>
      <w:tr>
        <w:tc>
          <w:tcPr>
            <w:tcW w:type="dxa" w:w="3561"/>
            <w:vAlign w:val="top"/>
          </w:tcPr>
          <w:p>
            <w:pPr>
              <w:spacing w:after="0"/>
            </w:pPr>
            <w:r>
              <w:rPr>
                <w:rFonts w:ascii="Times New Roman" w:hAnsi="Times New Roman"/>
                <w:sz w:val="14"/>
              </w:rPr>
              <w:t>Num. 18:24</w:t>
            </w:r>
          </w:p>
        </w:tc>
        <w:tc>
          <w:tcPr>
            <w:tcW w:type="dxa" w:w="3561"/>
            <w:vAlign w:val="top"/>
          </w:tcPr>
          <w:p>
            <w:pPr>
              <w:spacing w:after="0"/>
            </w:pPr>
            <w:r>
              <w:rPr>
                <w:rFonts w:ascii="Times New Roman" w:hAnsi="Times New Roman"/>
                <w:sz w:val="14"/>
              </w:rPr>
              <w:t>no Levitical tribal inheritance</w:t>
            </w:r>
          </w:p>
        </w:tc>
        <w:tc>
          <w:tcPr>
            <w:tcW w:type="dxa" w:w="3561"/>
            <w:vAlign w:val="top"/>
          </w:tcPr>
          <w:p>
            <w:pPr>
              <w:spacing w:after="0"/>
            </w:pPr>
            <w:r>
              <w:rPr>
                <w:rFonts w:ascii="Times New Roman" w:hAnsi="Times New Roman"/>
                <w:sz w:val="14"/>
              </w:rPr>
              <w:t>Tithe is their appointed inheritance.</w:t>
            </w:r>
          </w:p>
        </w:tc>
      </w:tr>
      <w:tr>
        <w:tc>
          <w:tcPr>
            <w:tcW w:type="dxa" w:w="3561"/>
            <w:vAlign w:val="top"/>
          </w:tcPr>
          <w:p>
            <w:pPr>
              <w:spacing w:after="0"/>
            </w:pPr>
            <w:r>
              <w:rPr>
                <w:rFonts w:ascii="Times New Roman" w:hAnsi="Times New Roman"/>
                <w:sz w:val="14"/>
              </w:rPr>
              <w:t>Num. 18:26</w:t>
            </w:r>
          </w:p>
        </w:tc>
        <w:tc>
          <w:tcPr>
            <w:tcW w:type="dxa" w:w="3561"/>
            <w:vAlign w:val="top"/>
          </w:tcPr>
          <w:p>
            <w:pPr>
              <w:spacing w:after="0"/>
            </w:pPr>
            <w:r>
              <w:rPr>
                <w:rFonts w:ascii="Times New Roman" w:hAnsi="Times New Roman"/>
                <w:sz w:val="14"/>
              </w:rPr>
              <w:t>tithe of tithe</w:t>
            </w:r>
          </w:p>
        </w:tc>
        <w:tc>
          <w:tcPr>
            <w:tcW w:type="dxa" w:w="3561"/>
            <w:vAlign w:val="top"/>
          </w:tcPr>
          <w:p>
            <w:pPr>
              <w:spacing w:after="0"/>
            </w:pPr>
            <w:r>
              <w:rPr>
                <w:rFonts w:ascii="Times New Roman" w:hAnsi="Times New Roman"/>
                <w:sz w:val="14"/>
              </w:rPr>
              <w:t>Levites give one tenth from received tithes.</w:t>
            </w:r>
          </w:p>
        </w:tc>
      </w:tr>
      <w:tr>
        <w:tc>
          <w:tcPr>
            <w:tcW w:type="dxa" w:w="3561"/>
            <w:vAlign w:val="top"/>
          </w:tcPr>
          <w:p>
            <w:pPr>
              <w:spacing w:after="0"/>
            </w:pPr>
            <w:r>
              <w:rPr>
                <w:rFonts w:ascii="Times New Roman" w:hAnsi="Times New Roman"/>
                <w:sz w:val="14"/>
              </w:rPr>
              <w:t>Num. 18:29–30</w:t>
            </w:r>
          </w:p>
        </w:tc>
        <w:tc>
          <w:tcPr>
            <w:tcW w:type="dxa" w:w="3561"/>
            <w:vAlign w:val="top"/>
          </w:tcPr>
          <w:p>
            <w:pPr>
              <w:spacing w:after="0"/>
            </w:pPr>
            <w:r>
              <w:rPr>
                <w:rFonts w:ascii="Times New Roman" w:hAnsi="Times New Roman"/>
                <w:sz w:val="14"/>
              </w:rPr>
              <w:t>best/fat part</w:t>
            </w:r>
          </w:p>
        </w:tc>
        <w:tc>
          <w:tcPr>
            <w:tcW w:type="dxa" w:w="3561"/>
            <w:vAlign w:val="top"/>
          </w:tcPr>
          <w:p>
            <w:pPr>
              <w:spacing w:after="0"/>
            </w:pPr>
            <w:r>
              <w:rPr>
                <w:rFonts w:ascii="Times New Roman" w:hAnsi="Times New Roman"/>
                <w:sz w:val="14"/>
              </w:rPr>
              <w:t>Yahweh’s contribution comes from best portion.</w:t>
            </w:r>
          </w:p>
        </w:tc>
      </w:tr>
      <w:tr>
        <w:tc>
          <w:tcPr>
            <w:tcW w:type="dxa" w:w="3561"/>
            <w:vAlign w:val="top"/>
          </w:tcPr>
          <w:p>
            <w:pPr>
              <w:spacing w:after="0"/>
            </w:pPr>
            <w:r>
              <w:rPr>
                <w:rFonts w:ascii="Times New Roman" w:hAnsi="Times New Roman"/>
                <w:sz w:val="14"/>
              </w:rPr>
              <w:t>Num. 18:31</w:t>
            </w:r>
          </w:p>
        </w:tc>
        <w:tc>
          <w:tcPr>
            <w:tcW w:type="dxa" w:w="3561"/>
            <w:vAlign w:val="top"/>
          </w:tcPr>
          <w:p>
            <w:pPr>
              <w:spacing w:after="0"/>
            </w:pPr>
            <w:r>
              <w:rPr>
                <w:rFonts w:ascii="Times New Roman" w:hAnsi="Times New Roman"/>
                <w:sz w:val="14"/>
              </w:rPr>
              <w:t>reward for service</w:t>
            </w:r>
          </w:p>
        </w:tc>
        <w:tc>
          <w:tcPr>
            <w:tcW w:type="dxa" w:w="3561"/>
            <w:vAlign w:val="top"/>
          </w:tcPr>
          <w:p>
            <w:pPr>
              <w:spacing w:after="0"/>
            </w:pPr>
            <w:r>
              <w:rPr>
                <w:rFonts w:ascii="Times New Roman" w:hAnsi="Times New Roman"/>
                <w:sz w:val="14"/>
              </w:rPr>
              <w:t>Remainder supports Levites and households.</w:t>
            </w:r>
          </w:p>
        </w:tc>
      </w:tr>
      <w:tr>
        <w:tc>
          <w:tcPr>
            <w:tcW w:type="dxa" w:w="3561"/>
            <w:vAlign w:val="top"/>
          </w:tcPr>
          <w:p>
            <w:pPr>
              <w:spacing w:after="0"/>
            </w:pPr>
            <w:r>
              <w:rPr>
                <w:rFonts w:ascii="Times New Roman" w:hAnsi="Times New Roman"/>
                <w:sz w:val="14"/>
              </w:rPr>
              <w:t>Num. 18:32</w:t>
            </w:r>
          </w:p>
        </w:tc>
        <w:tc>
          <w:tcPr>
            <w:tcW w:type="dxa" w:w="3561"/>
            <w:vAlign w:val="top"/>
          </w:tcPr>
          <w:p>
            <w:pPr>
              <w:spacing w:after="0"/>
            </w:pPr>
            <w:r>
              <w:rPr>
                <w:rFonts w:ascii="Times New Roman" w:hAnsi="Times New Roman"/>
                <w:sz w:val="14"/>
              </w:rPr>
              <w:t>do not profane holy things</w:t>
            </w:r>
          </w:p>
        </w:tc>
        <w:tc>
          <w:tcPr>
            <w:tcW w:type="dxa" w:w="3561"/>
            <w:vAlign w:val="top"/>
          </w:tcPr>
          <w:p>
            <w:pPr>
              <w:spacing w:after="0"/>
            </w:pPr>
            <w:r>
              <w:rPr>
                <w:rFonts w:ascii="Times New Roman" w:hAnsi="Times New Roman"/>
                <w:sz w:val="14"/>
              </w:rPr>
              <w:t>Provision remains sacred stewardship.</w:t>
            </w:r>
          </w:p>
        </w:tc>
      </w:tr>
    </w:tbl>
    <w:p>
      <w:pPr>
        <w:pStyle w:val="Heading1"/>
      </w:pPr>
      <w:r>
        <w:t>RESIDUAL UNCERTAINTIES</w:t>
      </w:r>
    </w:p>
    <w:p>
      <w:pPr/>
      <w:r>
        <w:rPr>
          <w:i w:val="0"/>
        </w:rPr>
        <w:t>The precise legal range of “bearing iniquity” and the full symbolism of the covenant of salt should not be over-defined. Numbers 18 is one component of the Torah’s broader tithe system; Mansfield’s three-tithe synthesis belongs to wider harmonisation and is not presented as if every detail occurs in this chapter.</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NUMBERS 18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3"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2" w:after="14"/>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4" w:after="14"/>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