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19</w:t>
      </w:r>
    </w:p>
    <w:p>
      <w:pPr>
        <w:pStyle w:val="Subtitle"/>
      </w:pPr>
      <w:r>
        <w:t>THE RED HEIFER • OUTSIDE THE CAMP • BLOOD TOWARD THE TENT • COMPLETE BURNING • ASHES FOR WATER OF PURIFICATION • DEFILEMENT BY DEATH • THIRD AND SEVENTH DAYS • LIVING WATER • CLEANSING APPOINTED BY YAHWEH</w:t>
      </w:r>
    </w:p>
    <w:p>
      <w:pPr/>
      <w:r>
        <w:rPr>
          <w:i/>
        </w:rPr>
        <w:t>H. P. Mansfield Bible notes — checked and arranged in verse-by-verse Expositor style</w:t>
      </w:r>
    </w:p>
    <w:p>
      <w:pPr/>
      <w:r>
        <w:rPr>
          <w:i w:val="0"/>
        </w:rPr>
        <w:t>Source: HPB 03-Lev12-Num36.PDF, mainly p. 69; cross-checked with Mansfield’s Numbers Expositor Chapter 19 and Hebrews 9:13–14.</w:t>
      </w:r>
    </w:p>
    <w:p>
      <w:pPr>
        <w:pStyle w:val="Heading1"/>
      </w:pPr>
      <w:r>
        <w:t>CHAPTER OVERVIEW</w:t>
      </w:r>
    </w:p>
    <w:p>
      <w:pPr/>
      <w:r>
        <w:rPr>
          <w:i w:val="0"/>
        </w:rPr>
        <w:t>Numbers 19 provides ritual purification from corpse defilement at a stage when death is becoming a constant reality in the condemned wilderness generation. A red cow/heifer is burned outside the camp and its ashes are retained for repeated use in purification water.</w:t>
      </w:r>
    </w:p>
    <w:p>
      <w:pPr/>
      <w:r>
        <w:rPr>
          <w:i w:val="0"/>
        </w:rPr>
        <w:t>Hebrews 9:13–14 explicitly names the ashes of a heifer when contrasting ceremonial purification with the greater cleansing accomplished through Christ. That New Testament use supplies the safest Christological control for Mansfield’s typology.</w:t>
      </w:r>
    </w:p>
    <w:p>
      <w:pPr>
        <w:pStyle w:val="Heading1"/>
      </w:pPr>
      <w:r>
        <w:t>THE RED HEIFER — NUMBERS 19:1–6</w:t>
      </w:r>
    </w:p>
    <w:p>
      <w:pPr>
        <w:pStyle w:val="Heading2"/>
      </w:pPr>
      <w:r>
        <w:t>Numbers 19:1–2 — parah adumah, a red cow/heifer</w:t>
      </w:r>
    </w:p>
    <w:p>
      <w:pPr/>
      <w:r>
        <w:rPr>
          <w:i w:val="0"/>
        </w:rPr>
        <w:t>Israel must provide a parah adumah, red cow/heifer, complete/without defect, upon which no yoke has come.</w:t>
      </w:r>
    </w:p>
    <w:p>
      <w:pPr/>
      <w:r>
        <w:rPr>
          <w:i w:val="0"/>
        </w:rPr>
        <w:t>The text does not specify Mansfield’s detailed age category between calf and full-grown cow, nor does it say that every hair had to be red. Later Jewish rules may be historically interesting but are not the wording of Numbers.</w:t>
      </w:r>
    </w:p>
    <w:p>
      <w:pPr>
        <w:pStyle w:val="Heading2"/>
      </w:pPr>
      <w:r>
        <w:t>Numbers 19:3–4 — outside the camp under Eleazar</w:t>
      </w:r>
    </w:p>
    <w:p>
      <w:pPr/>
      <w:r>
        <w:rPr>
          <w:i w:val="0"/>
        </w:rPr>
        <w:t>The animal is given to Eleazar the priest and taken outside the camp, where it is slaughtered before him. Eleazar takes its blood and sprinkles it seven times toward the front of the Tent of Meeting.</w:t>
      </w:r>
    </w:p>
    <w:p>
      <w:pPr/>
      <w:r>
        <w:rPr>
          <w:i w:val="0"/>
        </w:rPr>
        <w:t>Eleazar supervises rather than Aaron, but the text does not itself explain the choice.</w:t>
      </w:r>
    </w:p>
    <w:p>
      <w:pPr>
        <w:pStyle w:val="Heading2"/>
      </w:pPr>
      <w:r>
        <w:t>Numbers 19:5–6 — whole animal burned with cedar, hyssop and scarlet</w:t>
      </w:r>
    </w:p>
    <w:p>
      <w:pPr/>
      <w:r>
        <w:rPr>
          <w:i w:val="0"/>
        </w:rPr>
        <w:t>The cow is burned in Eleazar’s sight—hide, flesh, blood and dung—and cedar wood, hyssop and scarlet material are cast into the burning.</w:t>
      </w:r>
    </w:p>
    <w:p>
      <w:pPr/>
      <w:r>
        <w:rPr>
          <w:i w:val="0"/>
        </w:rPr>
        <w:t>Mansfield’s symbolic readings of red, cedar, hyssop and scarlet remain typology. The chapter itself specifies the materials and rite without giving a full symbolic glossary.</w:t>
      </w:r>
    </w:p>
    <w:p>
      <w:pPr>
        <w:pStyle w:val="Heading1"/>
      </w:pPr>
      <w:r>
        <w:t>ASHES KEPT FOR PURIFICATION — NUMBERS 19:7–10</w:t>
      </w:r>
    </w:p>
    <w:p>
      <w:pPr>
        <w:pStyle w:val="Heading2"/>
      </w:pPr>
      <w:r>
        <w:t>Numbers 19:7–8 — priest and burner become unclean until evening</w:t>
      </w:r>
    </w:p>
    <w:p>
      <w:pPr/>
      <w:r>
        <w:rPr>
          <w:i w:val="0"/>
        </w:rPr>
        <w:t>The priest washes clothes and body and remains unclean until evening; the person who burns the heifer does likewise.</w:t>
      </w:r>
    </w:p>
    <w:p>
      <w:pPr/>
      <w:r>
        <w:rPr>
          <w:i w:val="0"/>
        </w:rPr>
        <w:t>The rite deliberately contains a paradox: those handling the preparation of the cleansing medium incur temporary ceremonial uncleanness.</w:t>
      </w:r>
    </w:p>
    <w:p>
      <w:pPr>
        <w:pStyle w:val="Heading2"/>
      </w:pPr>
      <w:r>
        <w:t>Numbers 19:9–10 — ashes deposited in a clean place</w:t>
      </w:r>
    </w:p>
    <w:p>
      <w:pPr/>
      <w:r>
        <w:rPr>
          <w:i w:val="0"/>
        </w:rPr>
        <w:t>A ceremonially clean man gathers the ashes and places them outside the camp in a clean place for the congregation. They are kept for mei niddah, water of purification/separation.</w:t>
      </w:r>
    </w:p>
    <w:p>
      <w:pPr/>
      <w:r>
        <w:rPr>
          <w:i w:val="0"/>
        </w:rPr>
        <w:t>The clause “it is a purification for sin” uses chatta’t, a word that can denote sin/purification offering. The red-heifer rite is distinctive and should not be flattened into the ordinary Leviticus 4 sin-offering procedure.</w:t>
      </w:r>
    </w:p>
    <w:p>
      <w:pPr/>
      <w:r>
        <w:rPr>
          <w:i w:val="0"/>
        </w:rPr>
        <w:t>The ash-gatherer also washes and remains unclean until evening. The statute applies to Israel and the resident sojourner.</w:t>
      </w:r>
    </w:p>
    <w:p>
      <w:pPr>
        <w:pStyle w:val="Heading1"/>
      </w:pPr>
      <w:r>
        <w:t>DEFILEMENT BY DEATH — NUMBERS 19:11–16</w:t>
      </w:r>
    </w:p>
    <w:p>
      <w:pPr>
        <w:pStyle w:val="Heading2"/>
      </w:pPr>
      <w:r>
        <w:t>Numbers 19:11–13 — touching a dead human</w:t>
      </w:r>
    </w:p>
    <w:p>
      <w:pPr/>
      <w:r>
        <w:rPr>
          <w:i w:val="0"/>
        </w:rPr>
        <w:t>Whoever touches the dead body—nephesh adam met, literally a dead human person/life—is unclean seven days and must purify on the third and seventh days.</w:t>
      </w:r>
    </w:p>
    <w:p>
      <w:pPr/>
      <w:r>
        <w:rPr>
          <w:i w:val="0"/>
        </w:rPr>
        <w:t>Again nephesh can be used in relation to a corpse/dead person and cannot by itself mean an immortal conscious soul.</w:t>
      </w:r>
    </w:p>
    <w:p>
      <w:pPr/>
      <w:r>
        <w:rPr>
          <w:i w:val="0"/>
        </w:rPr>
        <w:t>Failure to accept the prescribed purification defiles Yahweh’s tabernacle and brings the “cut off” judgment.</w:t>
      </w:r>
    </w:p>
    <w:p>
      <w:pPr>
        <w:pStyle w:val="Heading2"/>
      </w:pPr>
      <w:r>
        <w:t>Numbers 19:14–15 — death in a tent</w:t>
      </w:r>
    </w:p>
    <w:p>
      <w:pPr/>
      <w:r>
        <w:rPr>
          <w:i w:val="0"/>
        </w:rPr>
        <w:t>When a person dies in a tent, those entering and those already in the tent become unclean seven days. Every open vessel without a fastened covering is also unclean.</w:t>
      </w:r>
    </w:p>
    <w:p>
      <w:pPr/>
      <w:r>
        <w:rPr>
          <w:i w:val="0"/>
        </w:rPr>
        <w:t>The text establishes ritual contamination; modern disease-control explanations may sometimes parallel the practice but are not the inspired reason stated.</w:t>
      </w:r>
    </w:p>
    <w:p>
      <w:pPr>
        <w:pStyle w:val="Heading2"/>
      </w:pPr>
      <w:r>
        <w:t>Numbers 19:16 — battlefield, bone or grave</w:t>
      </w:r>
    </w:p>
    <w:p>
      <w:pPr/>
      <w:r>
        <w:rPr>
          <w:i w:val="0"/>
        </w:rPr>
        <w:t>Touching one slain by sword, another dead body, a human bone or a grave produces seven-day uncleanness.</w:t>
      </w:r>
    </w:p>
    <w:p>
      <w:pPr>
        <w:pStyle w:val="Heading1"/>
      </w:pPr>
      <w:r>
        <w:t>THE PURIFICATION PROCEDURE — NUMBERS 19:17–19</w:t>
      </w:r>
    </w:p>
    <w:p>
      <w:pPr>
        <w:pStyle w:val="Heading2"/>
      </w:pPr>
      <w:r>
        <w:t>Numbers 19:17 — ashes with mayim chayyim</w:t>
      </w:r>
    </w:p>
    <w:p>
      <w:pPr/>
      <w:r>
        <w:rPr>
          <w:i w:val="0"/>
        </w:rPr>
        <w:t>For the unclean person, some ashes are placed in a vessel and mayim chayyim—living/fresh/running water—is added.</w:t>
      </w:r>
    </w:p>
    <w:p>
      <w:pPr/>
      <w:r>
        <w:rPr>
          <w:i w:val="0"/>
        </w:rPr>
        <w:t>The phrase denotes fresh flowing/living water rather than a mystical substance.</w:t>
      </w:r>
    </w:p>
    <w:p>
      <w:pPr>
        <w:pStyle w:val="Heading2"/>
      </w:pPr>
      <w:r>
        <w:t>Numbers 19:18 — hyssop sprinkling</w:t>
      </w:r>
    </w:p>
    <w:p>
      <w:pPr/>
      <w:r>
        <w:rPr>
          <w:i w:val="0"/>
        </w:rPr>
        <w:t>A clean person dips hyssop in the water and sprinkles the tent, vessels, people and the person who touched death-related defilement.</w:t>
      </w:r>
    </w:p>
    <w:p>
      <w:pPr>
        <w:pStyle w:val="Heading2"/>
      </w:pPr>
      <w:r>
        <w:t>Numbers 19:19 — third day, seventh day, washing and evening</w:t>
      </w:r>
    </w:p>
    <w:p>
      <w:pPr/>
      <w:r>
        <w:rPr>
          <w:i w:val="0"/>
        </w:rPr>
        <w:t>The clean person sprinkles the unclean on the third and seventh days. On the seventh the unclean person washes clothes, bathes in water and becomes clean at evening.</w:t>
      </w:r>
    </w:p>
    <w:p>
      <w:pPr/>
      <w:r>
        <w:rPr>
          <w:i w:val="0"/>
        </w:rPr>
        <w:t>Mansfield’s mapping of third and seventh days onto resurrection/millennial chronology is typological, not an explicit explanation given by Numbers.</w:t>
      </w:r>
    </w:p>
    <w:p>
      <w:pPr>
        <w:pStyle w:val="Heading1"/>
      </w:pPr>
      <w:r>
        <w:t>REFUSAL AND TRANSMITTED UNCLEANNESS — NUMBERS 19:20–22</w:t>
      </w:r>
    </w:p>
    <w:p>
      <w:pPr>
        <w:pStyle w:val="Heading2"/>
      </w:pPr>
      <w:r>
        <w:t>Numbers 19:20 — refusing cleansing defiles sanctuary</w:t>
      </w:r>
    </w:p>
    <w:p>
      <w:pPr/>
      <w:r>
        <w:rPr>
          <w:i w:val="0"/>
        </w:rPr>
        <w:t>An unclean person who refuses purification is cut off because Yahweh’s sanctuary has been defiled; the purification water has not been applied.</w:t>
      </w:r>
    </w:p>
    <w:p>
      <w:pPr>
        <w:pStyle w:val="Heading2"/>
      </w:pPr>
      <w:r>
        <w:t>Numbers 19:21–22 — cleanser and contact rules</w:t>
      </w:r>
    </w:p>
    <w:p>
      <w:pPr/>
      <w:r>
        <w:rPr>
          <w:i w:val="0"/>
        </w:rPr>
        <w:t>The one who sprinkles the purification water washes clothes, and contact with the water carries temporary uncleanness until evening. Whatever the unclean person touches becomes unclean, and the person touching that becomes unclean until evening.</w:t>
      </w:r>
    </w:p>
    <w:p>
      <w:pPr/>
      <w:r>
        <w:rPr>
          <w:i w:val="0"/>
        </w:rPr>
        <w:t>The chapter thus stresses how readily corpse defilement spreads, while cleansing must follow the specific remedy Yahweh appoints.</w:t>
      </w:r>
    </w:p>
    <w:p>
      <w:pPr>
        <w:pStyle w:val="Heading1"/>
      </w:pPr>
      <w:r>
        <w:t>HEBREWS 9:13–14 — THE SECURE TYPOLOGICAL CONTROL</w:t>
      </w:r>
    </w:p>
    <w:p>
      <w:pPr>
        <w:pStyle w:val="Heading2"/>
      </w:pPr>
      <w:r>
        <w:t>From ceremonial cleansing to Christ</w:t>
      </w:r>
    </w:p>
    <w:p>
      <w:pPr/>
      <w:r>
        <w:rPr>
          <w:i w:val="0"/>
        </w:rPr>
        <w:t>Hebrews explicitly says that the ashes of a heifer sprinkling the unclean sanctified to the purifying of the flesh, then contrasts this with the blood of Christ cleansing the conscience from dead works to serve the living God.</w:t>
      </w:r>
    </w:p>
    <w:p>
      <w:pPr/>
      <w:r>
        <w:rPr>
          <w:i w:val="0"/>
        </w:rPr>
        <w:t>This direct New Testament interpretation is preferable to claims that Christ himself was ceremonially “unclean” or morally tainted. He shared mortal human nature and died, but Scripture presents him as personally sinless and without blemish.</w:t>
      </w:r>
    </w:p>
    <w:p>
      <w:pPr>
        <w:pStyle w:val="Heading1"/>
      </w:pPr>
      <w:r>
        <w:t>PRINCIPAL THEMES</w:t>
      </w:r>
    </w:p>
    <w:p>
      <w:pPr>
        <w:ind w:left="259" w:hanging="202"/>
      </w:pPr>
      <w:r>
        <w:rPr>
          <w:b/>
        </w:rPr>
        <w:t xml:space="preserve">• </w:t>
      </w:r>
      <w:r>
        <w:t>The red-heifer rite addresses ceremonial defilement through contact with human death.</w:t>
      </w:r>
    </w:p>
    <w:p>
      <w:pPr>
        <w:ind w:left="259" w:hanging="202"/>
      </w:pPr>
      <w:r>
        <w:rPr>
          <w:b/>
        </w:rPr>
        <w:t xml:space="preserve">• </w:t>
      </w:r>
      <w:r>
        <w:t>Parah adumah means a red cow/heifer; detailed rabbinic hair and age rules should not be inserted as Scripture.</w:t>
      </w:r>
    </w:p>
    <w:p>
      <w:pPr>
        <w:ind w:left="259" w:hanging="202"/>
      </w:pPr>
      <w:r>
        <w:rPr>
          <w:b/>
        </w:rPr>
        <w:t xml:space="preserve">• </w:t>
      </w:r>
      <w:r>
        <w:t>The animal is slaughtered and burned outside the camp, with blood sprinkled toward the Tent seven times.</w:t>
      </w:r>
    </w:p>
    <w:p>
      <w:pPr>
        <w:ind w:left="259" w:hanging="202"/>
      </w:pPr>
      <w:r>
        <w:rPr>
          <w:b/>
        </w:rPr>
        <w:t xml:space="preserve">• </w:t>
      </w:r>
      <w:r>
        <w:t>Those preparing the cleansing medium themselves become temporarily ceremonially unclean.</w:t>
      </w:r>
    </w:p>
    <w:p>
      <w:pPr>
        <w:ind w:left="259" w:hanging="202"/>
      </w:pPr>
      <w:r>
        <w:rPr>
          <w:b/>
        </w:rPr>
        <w:t xml:space="preserve">• </w:t>
      </w:r>
      <w:r>
        <w:t>Mei niddah is water of purification/separation; chatta’t here carries purification/sin-offering terminology.</w:t>
      </w:r>
    </w:p>
    <w:p>
      <w:pPr>
        <w:ind w:left="259" w:hanging="202"/>
      </w:pPr>
      <w:r>
        <w:rPr>
          <w:b/>
        </w:rPr>
        <w:t xml:space="preserve">• </w:t>
      </w:r>
      <w:r>
        <w:t>Nephesh can refer to a dead human person/corpse.</w:t>
      </w:r>
    </w:p>
    <w:p>
      <w:pPr>
        <w:ind w:left="259" w:hanging="202"/>
      </w:pPr>
      <w:r>
        <w:rPr>
          <w:b/>
        </w:rPr>
        <w:t xml:space="preserve">• </w:t>
      </w:r>
      <w:r>
        <w:t>Purification occurs on the third and seventh days with ashes, fresh/living water and hyssop.</w:t>
      </w:r>
    </w:p>
    <w:p>
      <w:pPr>
        <w:ind w:left="259" w:hanging="202"/>
      </w:pPr>
      <w:r>
        <w:rPr>
          <w:b/>
        </w:rPr>
        <w:t xml:space="preserve">• </w:t>
      </w:r>
      <w:r>
        <w:t>Refusing the appointed cleansing defiles the sanctuary.</w:t>
      </w:r>
    </w:p>
    <w:p>
      <w:pPr>
        <w:ind w:left="259" w:hanging="202"/>
      </w:pPr>
      <w:r>
        <w:rPr>
          <w:b/>
        </w:rPr>
        <w:t xml:space="preserve">• </w:t>
      </w:r>
      <w:r>
        <w:t>Hebrews 9:13–14 directly interprets the heifer ashes as ceremonial cleansing surpassed by Christ’s cleansing work.</w:t>
      </w:r>
    </w:p>
    <w:p>
      <w:pPr>
        <w:ind w:left="259" w:hanging="202"/>
      </w:pPr>
      <w:r>
        <w:rPr>
          <w:b/>
        </w:rPr>
        <w:t xml:space="preserve">• </w:t>
      </w:r>
      <w:r>
        <w:t>Christological typology must preserve Christ’s personal sinlessness rather than call him ceremonially or morally unclean.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19:2</w:t>
            </w:r>
          </w:p>
        </w:tc>
        <w:tc>
          <w:tcPr>
            <w:tcW w:type="dxa" w:w="3561"/>
            <w:vAlign w:val="top"/>
          </w:tcPr>
          <w:p>
            <w:pPr>
              <w:spacing w:after="0"/>
            </w:pPr>
            <w:r>
              <w:rPr>
                <w:rFonts w:ascii="Times New Roman" w:hAnsi="Times New Roman"/>
                <w:sz w:val="14"/>
              </w:rPr>
              <w:t>parah adumah</w:t>
            </w:r>
          </w:p>
        </w:tc>
        <w:tc>
          <w:tcPr>
            <w:tcW w:type="dxa" w:w="3561"/>
            <w:vAlign w:val="top"/>
          </w:tcPr>
          <w:p>
            <w:pPr>
              <w:spacing w:after="0"/>
            </w:pPr>
            <w:r>
              <w:rPr>
                <w:rFonts w:ascii="Times New Roman" w:hAnsi="Times New Roman"/>
                <w:sz w:val="14"/>
              </w:rPr>
              <w:t>Red cow/heifer; exact age not specified.</w:t>
            </w:r>
          </w:p>
        </w:tc>
      </w:tr>
      <w:tr>
        <w:tc>
          <w:tcPr>
            <w:tcW w:type="dxa" w:w="3561"/>
            <w:vAlign w:val="top"/>
          </w:tcPr>
          <w:p>
            <w:pPr>
              <w:spacing w:after="0"/>
            </w:pPr>
            <w:r>
              <w:rPr>
                <w:rFonts w:ascii="Times New Roman" w:hAnsi="Times New Roman"/>
                <w:sz w:val="14"/>
              </w:rPr>
              <w:t>Num. 19:2</w:t>
            </w:r>
          </w:p>
        </w:tc>
        <w:tc>
          <w:tcPr>
            <w:tcW w:type="dxa" w:w="3561"/>
            <w:vAlign w:val="top"/>
          </w:tcPr>
          <w:p>
            <w:pPr>
              <w:spacing w:after="0"/>
            </w:pPr>
            <w:r>
              <w:rPr>
                <w:rFonts w:ascii="Times New Roman" w:hAnsi="Times New Roman"/>
                <w:sz w:val="14"/>
              </w:rPr>
              <w:t>without defect; no yoke</w:t>
            </w:r>
          </w:p>
        </w:tc>
        <w:tc>
          <w:tcPr>
            <w:tcW w:type="dxa" w:w="3561"/>
            <w:vAlign w:val="top"/>
          </w:tcPr>
          <w:p>
            <w:pPr>
              <w:spacing w:after="0"/>
            </w:pPr>
            <w:r>
              <w:rPr>
                <w:rFonts w:ascii="Times New Roman" w:hAnsi="Times New Roman"/>
                <w:sz w:val="14"/>
              </w:rPr>
              <w:t>Explicit qualifications.</w:t>
            </w:r>
          </w:p>
        </w:tc>
      </w:tr>
      <w:tr>
        <w:tc>
          <w:tcPr>
            <w:tcW w:type="dxa" w:w="3561"/>
            <w:vAlign w:val="top"/>
          </w:tcPr>
          <w:p>
            <w:pPr>
              <w:spacing w:after="0"/>
            </w:pPr>
            <w:r>
              <w:rPr>
                <w:rFonts w:ascii="Times New Roman" w:hAnsi="Times New Roman"/>
                <w:sz w:val="14"/>
              </w:rPr>
              <w:t>Num. 19:3</w:t>
            </w:r>
          </w:p>
        </w:tc>
        <w:tc>
          <w:tcPr>
            <w:tcW w:type="dxa" w:w="3561"/>
            <w:vAlign w:val="top"/>
          </w:tcPr>
          <w:p>
            <w:pPr>
              <w:spacing w:after="0"/>
            </w:pPr>
            <w:r>
              <w:rPr>
                <w:rFonts w:ascii="Times New Roman" w:hAnsi="Times New Roman"/>
                <w:sz w:val="14"/>
              </w:rPr>
              <w:t>Eleazar / outside camp</w:t>
            </w:r>
          </w:p>
        </w:tc>
        <w:tc>
          <w:tcPr>
            <w:tcW w:type="dxa" w:w="3561"/>
            <w:vAlign w:val="top"/>
          </w:tcPr>
          <w:p>
            <w:pPr>
              <w:spacing w:after="0"/>
            </w:pPr>
            <w:r>
              <w:rPr>
                <w:rFonts w:ascii="Times New Roman" w:hAnsi="Times New Roman"/>
                <w:sz w:val="14"/>
              </w:rPr>
              <w:t>Priest supervises slaughter outside camp.</w:t>
            </w:r>
          </w:p>
        </w:tc>
      </w:tr>
      <w:tr>
        <w:tc>
          <w:tcPr>
            <w:tcW w:type="dxa" w:w="3561"/>
            <w:vAlign w:val="top"/>
          </w:tcPr>
          <w:p>
            <w:pPr>
              <w:spacing w:after="0"/>
            </w:pPr>
            <w:r>
              <w:rPr>
                <w:rFonts w:ascii="Times New Roman" w:hAnsi="Times New Roman"/>
                <w:sz w:val="14"/>
              </w:rPr>
              <w:t>Num. 19:4</w:t>
            </w:r>
          </w:p>
        </w:tc>
        <w:tc>
          <w:tcPr>
            <w:tcW w:type="dxa" w:w="3561"/>
            <w:vAlign w:val="top"/>
          </w:tcPr>
          <w:p>
            <w:pPr>
              <w:spacing w:after="0"/>
            </w:pPr>
            <w:r>
              <w:rPr>
                <w:rFonts w:ascii="Times New Roman" w:hAnsi="Times New Roman"/>
                <w:sz w:val="14"/>
              </w:rPr>
              <w:t>blood seven times toward Tent</w:t>
            </w:r>
          </w:p>
        </w:tc>
        <w:tc>
          <w:tcPr>
            <w:tcW w:type="dxa" w:w="3561"/>
            <w:vAlign w:val="top"/>
          </w:tcPr>
          <w:p>
            <w:pPr>
              <w:spacing w:after="0"/>
            </w:pPr>
            <w:r>
              <w:rPr>
                <w:rFonts w:ascii="Times New Roman" w:hAnsi="Times New Roman"/>
                <w:sz w:val="14"/>
              </w:rPr>
              <w:t>Direction and number explicit.</w:t>
            </w:r>
          </w:p>
        </w:tc>
      </w:tr>
      <w:tr>
        <w:tc>
          <w:tcPr>
            <w:tcW w:type="dxa" w:w="3561"/>
            <w:vAlign w:val="top"/>
          </w:tcPr>
          <w:p>
            <w:pPr>
              <w:spacing w:after="0"/>
            </w:pPr>
            <w:r>
              <w:rPr>
                <w:rFonts w:ascii="Times New Roman" w:hAnsi="Times New Roman"/>
                <w:sz w:val="14"/>
              </w:rPr>
              <w:t>Num. 19:5</w:t>
            </w:r>
          </w:p>
        </w:tc>
        <w:tc>
          <w:tcPr>
            <w:tcW w:type="dxa" w:w="3561"/>
            <w:vAlign w:val="top"/>
          </w:tcPr>
          <w:p>
            <w:pPr>
              <w:spacing w:after="0"/>
            </w:pPr>
            <w:r>
              <w:rPr>
                <w:rFonts w:ascii="Times New Roman" w:hAnsi="Times New Roman"/>
                <w:sz w:val="14"/>
              </w:rPr>
              <w:t>complete burning</w:t>
            </w:r>
          </w:p>
        </w:tc>
        <w:tc>
          <w:tcPr>
            <w:tcW w:type="dxa" w:w="3561"/>
            <w:vAlign w:val="top"/>
          </w:tcPr>
          <w:p>
            <w:pPr>
              <w:spacing w:after="0"/>
            </w:pPr>
            <w:r>
              <w:rPr>
                <w:rFonts w:ascii="Times New Roman" w:hAnsi="Times New Roman"/>
                <w:sz w:val="14"/>
              </w:rPr>
              <w:t>Hide, flesh, blood and dung.</w:t>
            </w:r>
          </w:p>
        </w:tc>
      </w:tr>
      <w:tr>
        <w:tc>
          <w:tcPr>
            <w:tcW w:type="dxa" w:w="3561"/>
            <w:vAlign w:val="top"/>
          </w:tcPr>
          <w:p>
            <w:pPr>
              <w:spacing w:after="0"/>
            </w:pPr>
            <w:r>
              <w:rPr>
                <w:rFonts w:ascii="Times New Roman" w:hAnsi="Times New Roman"/>
                <w:sz w:val="14"/>
              </w:rPr>
              <w:t>Num. 19:6</w:t>
            </w:r>
          </w:p>
        </w:tc>
        <w:tc>
          <w:tcPr>
            <w:tcW w:type="dxa" w:w="3561"/>
            <w:vAlign w:val="top"/>
          </w:tcPr>
          <w:p>
            <w:pPr>
              <w:spacing w:after="0"/>
            </w:pPr>
            <w:r>
              <w:rPr>
                <w:rFonts w:ascii="Times New Roman" w:hAnsi="Times New Roman"/>
                <w:sz w:val="14"/>
              </w:rPr>
              <w:t>cedar / hyssop / scarlet</w:t>
            </w:r>
          </w:p>
        </w:tc>
        <w:tc>
          <w:tcPr>
            <w:tcW w:type="dxa" w:w="3561"/>
            <w:vAlign w:val="top"/>
          </w:tcPr>
          <w:p>
            <w:pPr>
              <w:spacing w:after="0"/>
            </w:pPr>
            <w:r>
              <w:rPr>
                <w:rFonts w:ascii="Times New Roman" w:hAnsi="Times New Roman"/>
                <w:sz w:val="14"/>
              </w:rPr>
              <w:t>Materials cast into burning; symbolism not defined in chapter.</w:t>
            </w:r>
          </w:p>
        </w:tc>
      </w:tr>
      <w:tr>
        <w:tc>
          <w:tcPr>
            <w:tcW w:type="dxa" w:w="3561"/>
            <w:vAlign w:val="top"/>
          </w:tcPr>
          <w:p>
            <w:pPr>
              <w:spacing w:after="0"/>
            </w:pPr>
            <w:r>
              <w:rPr>
                <w:rFonts w:ascii="Times New Roman" w:hAnsi="Times New Roman"/>
                <w:sz w:val="14"/>
              </w:rPr>
              <w:t>Num. 19:7–8</w:t>
            </w:r>
          </w:p>
        </w:tc>
        <w:tc>
          <w:tcPr>
            <w:tcW w:type="dxa" w:w="3561"/>
            <w:vAlign w:val="top"/>
          </w:tcPr>
          <w:p>
            <w:pPr>
              <w:spacing w:after="0"/>
            </w:pPr>
            <w:r>
              <w:rPr>
                <w:rFonts w:ascii="Times New Roman" w:hAnsi="Times New Roman"/>
                <w:sz w:val="14"/>
              </w:rPr>
              <w:t>handlers unclean until evening</w:t>
            </w:r>
          </w:p>
        </w:tc>
        <w:tc>
          <w:tcPr>
            <w:tcW w:type="dxa" w:w="3561"/>
            <w:vAlign w:val="top"/>
          </w:tcPr>
          <w:p>
            <w:pPr>
              <w:spacing w:after="0"/>
            </w:pPr>
            <w:r>
              <w:rPr>
                <w:rFonts w:ascii="Times New Roman" w:hAnsi="Times New Roman"/>
                <w:sz w:val="14"/>
              </w:rPr>
              <w:t>Priest and burner wash.</w:t>
            </w:r>
          </w:p>
        </w:tc>
      </w:tr>
      <w:tr>
        <w:tc>
          <w:tcPr>
            <w:tcW w:type="dxa" w:w="3561"/>
            <w:vAlign w:val="top"/>
          </w:tcPr>
          <w:p>
            <w:pPr>
              <w:spacing w:after="0"/>
            </w:pPr>
            <w:r>
              <w:rPr>
                <w:rFonts w:ascii="Times New Roman" w:hAnsi="Times New Roman"/>
                <w:sz w:val="14"/>
              </w:rPr>
              <w:t>Num. 19:9</w:t>
            </w:r>
          </w:p>
        </w:tc>
        <w:tc>
          <w:tcPr>
            <w:tcW w:type="dxa" w:w="3561"/>
            <w:vAlign w:val="top"/>
          </w:tcPr>
          <w:p>
            <w:pPr>
              <w:spacing w:after="0"/>
            </w:pPr>
            <w:r>
              <w:rPr>
                <w:rFonts w:ascii="Times New Roman" w:hAnsi="Times New Roman"/>
                <w:sz w:val="14"/>
              </w:rPr>
              <w:t>mei niddah</w:t>
            </w:r>
          </w:p>
        </w:tc>
        <w:tc>
          <w:tcPr>
            <w:tcW w:type="dxa" w:w="3561"/>
            <w:vAlign w:val="top"/>
          </w:tcPr>
          <w:p>
            <w:pPr>
              <w:spacing w:after="0"/>
            </w:pPr>
            <w:r>
              <w:rPr>
                <w:rFonts w:ascii="Times New Roman" w:hAnsi="Times New Roman"/>
                <w:sz w:val="14"/>
              </w:rPr>
              <w:t>Water of purification/separation.</w:t>
            </w:r>
          </w:p>
        </w:tc>
      </w:tr>
      <w:tr>
        <w:tc>
          <w:tcPr>
            <w:tcW w:type="dxa" w:w="3561"/>
            <w:vAlign w:val="top"/>
          </w:tcPr>
          <w:p>
            <w:pPr>
              <w:spacing w:after="0"/>
            </w:pPr>
            <w:r>
              <w:rPr>
                <w:rFonts w:ascii="Times New Roman" w:hAnsi="Times New Roman"/>
                <w:sz w:val="14"/>
              </w:rPr>
              <w:t>Num. 19:9</w:t>
            </w:r>
          </w:p>
        </w:tc>
        <w:tc>
          <w:tcPr>
            <w:tcW w:type="dxa" w:w="3561"/>
            <w:vAlign w:val="top"/>
          </w:tcPr>
          <w:p>
            <w:pPr>
              <w:spacing w:after="0"/>
            </w:pPr>
            <w:r>
              <w:rPr>
                <w:rFonts w:ascii="Times New Roman" w:hAnsi="Times New Roman"/>
                <w:sz w:val="14"/>
              </w:rPr>
              <w:t>chatta’t</w:t>
            </w:r>
          </w:p>
        </w:tc>
        <w:tc>
          <w:tcPr>
            <w:tcW w:type="dxa" w:w="3561"/>
            <w:vAlign w:val="top"/>
          </w:tcPr>
          <w:p>
            <w:pPr>
              <w:spacing w:after="0"/>
            </w:pPr>
            <w:r>
              <w:rPr>
                <w:rFonts w:ascii="Times New Roman" w:hAnsi="Times New Roman"/>
                <w:sz w:val="14"/>
              </w:rPr>
              <w:t>Purification/sin-offering terminology in distinctive rite.</w:t>
            </w:r>
          </w:p>
        </w:tc>
      </w:tr>
      <w:tr>
        <w:tc>
          <w:tcPr>
            <w:tcW w:type="dxa" w:w="3561"/>
            <w:vAlign w:val="top"/>
          </w:tcPr>
          <w:p>
            <w:pPr>
              <w:spacing w:after="0"/>
            </w:pPr>
            <w:r>
              <w:rPr>
                <w:rFonts w:ascii="Times New Roman" w:hAnsi="Times New Roman"/>
                <w:sz w:val="14"/>
              </w:rPr>
              <w:t>Num. 19:10</w:t>
            </w:r>
          </w:p>
        </w:tc>
        <w:tc>
          <w:tcPr>
            <w:tcW w:type="dxa" w:w="3561"/>
            <w:vAlign w:val="top"/>
          </w:tcPr>
          <w:p>
            <w:pPr>
              <w:spacing w:after="0"/>
            </w:pPr>
            <w:r>
              <w:rPr>
                <w:rFonts w:ascii="Times New Roman" w:hAnsi="Times New Roman"/>
                <w:sz w:val="14"/>
              </w:rPr>
              <w:t>ash gatherer unclean</w:t>
            </w:r>
          </w:p>
        </w:tc>
        <w:tc>
          <w:tcPr>
            <w:tcW w:type="dxa" w:w="3561"/>
            <w:vAlign w:val="top"/>
          </w:tcPr>
          <w:p>
            <w:pPr>
              <w:spacing w:after="0"/>
            </w:pPr>
            <w:r>
              <w:rPr>
                <w:rFonts w:ascii="Times New Roman" w:hAnsi="Times New Roman"/>
                <w:sz w:val="14"/>
              </w:rPr>
              <w:t>Washes and remains unclean until evening.</w:t>
            </w:r>
          </w:p>
        </w:tc>
      </w:tr>
      <w:tr>
        <w:tc>
          <w:tcPr>
            <w:tcW w:type="dxa" w:w="3561"/>
            <w:vAlign w:val="top"/>
          </w:tcPr>
          <w:p>
            <w:pPr>
              <w:spacing w:after="0"/>
            </w:pPr>
            <w:r>
              <w:rPr>
                <w:rFonts w:ascii="Times New Roman" w:hAnsi="Times New Roman"/>
                <w:sz w:val="14"/>
              </w:rPr>
              <w:t>Num. 19:11</w:t>
            </w:r>
          </w:p>
        </w:tc>
        <w:tc>
          <w:tcPr>
            <w:tcW w:type="dxa" w:w="3561"/>
            <w:vAlign w:val="top"/>
          </w:tcPr>
          <w:p>
            <w:pPr>
              <w:spacing w:after="0"/>
            </w:pPr>
            <w:r>
              <w:rPr>
                <w:rFonts w:ascii="Times New Roman" w:hAnsi="Times New Roman"/>
                <w:sz w:val="14"/>
              </w:rPr>
              <w:t>nephesh adam met</w:t>
            </w:r>
          </w:p>
        </w:tc>
        <w:tc>
          <w:tcPr>
            <w:tcW w:type="dxa" w:w="3561"/>
            <w:vAlign w:val="top"/>
          </w:tcPr>
          <w:p>
            <w:pPr>
              <w:spacing w:after="0"/>
            </w:pPr>
            <w:r>
              <w:rPr>
                <w:rFonts w:ascii="Times New Roman" w:hAnsi="Times New Roman"/>
                <w:sz w:val="14"/>
              </w:rPr>
              <w:t>Dead human person/corpse.</w:t>
            </w:r>
          </w:p>
        </w:tc>
      </w:tr>
      <w:tr>
        <w:tc>
          <w:tcPr>
            <w:tcW w:type="dxa" w:w="3561"/>
            <w:vAlign w:val="top"/>
          </w:tcPr>
          <w:p>
            <w:pPr>
              <w:spacing w:after="0"/>
            </w:pPr>
            <w:r>
              <w:rPr>
                <w:rFonts w:ascii="Times New Roman" w:hAnsi="Times New Roman"/>
                <w:sz w:val="14"/>
              </w:rPr>
              <w:t>Num. 19:12</w:t>
            </w:r>
          </w:p>
        </w:tc>
        <w:tc>
          <w:tcPr>
            <w:tcW w:type="dxa" w:w="3561"/>
            <w:vAlign w:val="top"/>
          </w:tcPr>
          <w:p>
            <w:pPr>
              <w:spacing w:after="0"/>
            </w:pPr>
            <w:r>
              <w:rPr>
                <w:rFonts w:ascii="Times New Roman" w:hAnsi="Times New Roman"/>
                <w:sz w:val="14"/>
              </w:rPr>
              <w:t>third + seventh days</w:t>
            </w:r>
          </w:p>
        </w:tc>
        <w:tc>
          <w:tcPr>
            <w:tcW w:type="dxa" w:w="3561"/>
            <w:vAlign w:val="top"/>
          </w:tcPr>
          <w:p>
            <w:pPr>
              <w:spacing w:after="0"/>
            </w:pPr>
            <w:r>
              <w:rPr>
                <w:rFonts w:ascii="Times New Roman" w:hAnsi="Times New Roman"/>
                <w:sz w:val="14"/>
              </w:rPr>
              <w:t>Both purification stages required.</w:t>
            </w:r>
          </w:p>
        </w:tc>
      </w:tr>
      <w:tr>
        <w:tc>
          <w:tcPr>
            <w:tcW w:type="dxa" w:w="3561"/>
            <w:vAlign w:val="top"/>
          </w:tcPr>
          <w:p>
            <w:pPr>
              <w:spacing w:after="0"/>
            </w:pPr>
            <w:r>
              <w:rPr>
                <w:rFonts w:ascii="Times New Roman" w:hAnsi="Times New Roman"/>
                <w:sz w:val="14"/>
              </w:rPr>
              <w:t>Num. 19:14–15</w:t>
            </w:r>
          </w:p>
        </w:tc>
        <w:tc>
          <w:tcPr>
            <w:tcW w:type="dxa" w:w="3561"/>
            <w:vAlign w:val="top"/>
          </w:tcPr>
          <w:p>
            <w:pPr>
              <w:spacing w:after="0"/>
            </w:pPr>
            <w:r>
              <w:rPr>
                <w:rFonts w:ascii="Times New Roman" w:hAnsi="Times New Roman"/>
                <w:sz w:val="14"/>
              </w:rPr>
              <w:t>tent/open vessel</w:t>
            </w:r>
          </w:p>
        </w:tc>
        <w:tc>
          <w:tcPr>
            <w:tcW w:type="dxa" w:w="3561"/>
            <w:vAlign w:val="top"/>
          </w:tcPr>
          <w:p>
            <w:pPr>
              <w:spacing w:after="0"/>
            </w:pPr>
            <w:r>
              <w:rPr>
                <w:rFonts w:ascii="Times New Roman" w:hAnsi="Times New Roman"/>
                <w:sz w:val="14"/>
              </w:rPr>
              <w:t>Death-defilement rules.</w:t>
            </w:r>
          </w:p>
        </w:tc>
      </w:tr>
      <w:tr>
        <w:tc>
          <w:tcPr>
            <w:tcW w:type="dxa" w:w="3561"/>
            <w:vAlign w:val="top"/>
          </w:tcPr>
          <w:p>
            <w:pPr>
              <w:spacing w:after="0"/>
            </w:pPr>
            <w:r>
              <w:rPr>
                <w:rFonts w:ascii="Times New Roman" w:hAnsi="Times New Roman"/>
                <w:sz w:val="14"/>
              </w:rPr>
              <w:t>Num. 19:16</w:t>
            </w:r>
          </w:p>
        </w:tc>
        <w:tc>
          <w:tcPr>
            <w:tcW w:type="dxa" w:w="3561"/>
            <w:vAlign w:val="top"/>
          </w:tcPr>
          <w:p>
            <w:pPr>
              <w:spacing w:after="0"/>
            </w:pPr>
            <w:r>
              <w:rPr>
                <w:rFonts w:ascii="Times New Roman" w:hAnsi="Times New Roman"/>
                <w:sz w:val="14"/>
              </w:rPr>
              <w:t>bone/grave/slain body</w:t>
            </w:r>
          </w:p>
        </w:tc>
        <w:tc>
          <w:tcPr>
            <w:tcW w:type="dxa" w:w="3561"/>
            <w:vAlign w:val="top"/>
          </w:tcPr>
          <w:p>
            <w:pPr>
              <w:spacing w:after="0"/>
            </w:pPr>
            <w:r>
              <w:rPr>
                <w:rFonts w:ascii="Times New Roman" w:hAnsi="Times New Roman"/>
                <w:sz w:val="14"/>
              </w:rPr>
              <w:t>Seven-day uncleanness.</w:t>
            </w:r>
          </w:p>
        </w:tc>
      </w:tr>
      <w:tr>
        <w:tc>
          <w:tcPr>
            <w:tcW w:type="dxa" w:w="3561"/>
            <w:vAlign w:val="top"/>
          </w:tcPr>
          <w:p>
            <w:pPr>
              <w:spacing w:after="0"/>
            </w:pPr>
            <w:r>
              <w:rPr>
                <w:rFonts w:ascii="Times New Roman" w:hAnsi="Times New Roman"/>
                <w:sz w:val="14"/>
              </w:rPr>
              <w:t>Num. 19:17</w:t>
            </w:r>
          </w:p>
        </w:tc>
        <w:tc>
          <w:tcPr>
            <w:tcW w:type="dxa" w:w="3561"/>
            <w:vAlign w:val="top"/>
          </w:tcPr>
          <w:p>
            <w:pPr>
              <w:spacing w:after="0"/>
            </w:pPr>
            <w:r>
              <w:rPr>
                <w:rFonts w:ascii="Times New Roman" w:hAnsi="Times New Roman"/>
                <w:sz w:val="14"/>
              </w:rPr>
              <w:t>mayim chayyim</w:t>
            </w:r>
          </w:p>
        </w:tc>
        <w:tc>
          <w:tcPr>
            <w:tcW w:type="dxa" w:w="3561"/>
            <w:vAlign w:val="top"/>
          </w:tcPr>
          <w:p>
            <w:pPr>
              <w:spacing w:after="0"/>
            </w:pPr>
            <w:r>
              <w:rPr>
                <w:rFonts w:ascii="Times New Roman" w:hAnsi="Times New Roman"/>
                <w:sz w:val="14"/>
              </w:rPr>
              <w:t>Living/fresh/running water.</w:t>
            </w:r>
          </w:p>
        </w:tc>
      </w:tr>
      <w:tr>
        <w:tc>
          <w:tcPr>
            <w:tcW w:type="dxa" w:w="3561"/>
            <w:vAlign w:val="top"/>
          </w:tcPr>
          <w:p>
            <w:pPr>
              <w:spacing w:after="0"/>
            </w:pPr>
            <w:r>
              <w:rPr>
                <w:rFonts w:ascii="Times New Roman" w:hAnsi="Times New Roman"/>
                <w:sz w:val="14"/>
              </w:rPr>
              <w:t>Num. 19:18–19</w:t>
            </w:r>
          </w:p>
        </w:tc>
        <w:tc>
          <w:tcPr>
            <w:tcW w:type="dxa" w:w="3561"/>
            <w:vAlign w:val="top"/>
          </w:tcPr>
          <w:p>
            <w:pPr>
              <w:spacing w:after="0"/>
            </w:pPr>
            <w:r>
              <w:rPr>
                <w:rFonts w:ascii="Times New Roman" w:hAnsi="Times New Roman"/>
                <w:sz w:val="14"/>
              </w:rPr>
              <w:t>hyssop sprinkling</w:t>
            </w:r>
          </w:p>
        </w:tc>
        <w:tc>
          <w:tcPr>
            <w:tcW w:type="dxa" w:w="3561"/>
            <w:vAlign w:val="top"/>
          </w:tcPr>
          <w:p>
            <w:pPr>
              <w:spacing w:after="0"/>
            </w:pPr>
            <w:r>
              <w:rPr>
                <w:rFonts w:ascii="Times New Roman" w:hAnsi="Times New Roman"/>
                <w:sz w:val="14"/>
              </w:rPr>
              <w:t>Third/seventh-day application and final washing.</w:t>
            </w:r>
          </w:p>
        </w:tc>
      </w:tr>
      <w:tr>
        <w:tc>
          <w:tcPr>
            <w:tcW w:type="dxa" w:w="3561"/>
            <w:vAlign w:val="top"/>
          </w:tcPr>
          <w:p>
            <w:pPr>
              <w:spacing w:after="0"/>
            </w:pPr>
            <w:r>
              <w:rPr>
                <w:rFonts w:ascii="Times New Roman" w:hAnsi="Times New Roman"/>
                <w:sz w:val="14"/>
              </w:rPr>
              <w:t>Num. 19:20</w:t>
            </w:r>
          </w:p>
        </w:tc>
        <w:tc>
          <w:tcPr>
            <w:tcW w:type="dxa" w:w="3561"/>
            <w:vAlign w:val="top"/>
          </w:tcPr>
          <w:p>
            <w:pPr>
              <w:spacing w:after="0"/>
            </w:pPr>
            <w:r>
              <w:rPr>
                <w:rFonts w:ascii="Times New Roman" w:hAnsi="Times New Roman"/>
                <w:sz w:val="14"/>
              </w:rPr>
              <w:t>refusal = sanctuary defilement</w:t>
            </w:r>
          </w:p>
        </w:tc>
        <w:tc>
          <w:tcPr>
            <w:tcW w:type="dxa" w:w="3561"/>
            <w:vAlign w:val="top"/>
          </w:tcPr>
          <w:p>
            <w:pPr>
              <w:spacing w:after="0"/>
            </w:pPr>
            <w:r>
              <w:rPr>
                <w:rFonts w:ascii="Times New Roman" w:hAnsi="Times New Roman"/>
                <w:sz w:val="14"/>
              </w:rPr>
              <w:t>Cut-off formula.</w:t>
            </w:r>
          </w:p>
        </w:tc>
      </w:tr>
      <w:tr>
        <w:tc>
          <w:tcPr>
            <w:tcW w:type="dxa" w:w="3561"/>
            <w:vAlign w:val="top"/>
          </w:tcPr>
          <w:p>
            <w:pPr>
              <w:spacing w:after="0"/>
            </w:pPr>
            <w:r>
              <w:rPr>
                <w:rFonts w:ascii="Times New Roman" w:hAnsi="Times New Roman"/>
                <w:sz w:val="14"/>
              </w:rPr>
              <w:t>Heb. 9:13–14</w:t>
            </w:r>
          </w:p>
        </w:tc>
        <w:tc>
          <w:tcPr>
            <w:tcW w:type="dxa" w:w="3561"/>
            <w:vAlign w:val="top"/>
          </w:tcPr>
          <w:p>
            <w:pPr>
              <w:spacing w:after="0"/>
            </w:pPr>
            <w:r>
              <w:rPr>
                <w:rFonts w:ascii="Times New Roman" w:hAnsi="Times New Roman"/>
                <w:sz w:val="14"/>
              </w:rPr>
              <w:t>ashes of heifer explicitly cited</w:t>
            </w:r>
          </w:p>
        </w:tc>
        <w:tc>
          <w:tcPr>
            <w:tcW w:type="dxa" w:w="3561"/>
            <w:vAlign w:val="top"/>
          </w:tcPr>
          <w:p>
            <w:pPr>
              <w:spacing w:after="0"/>
            </w:pPr>
            <w:r>
              <w:rPr>
                <w:rFonts w:ascii="Times New Roman" w:hAnsi="Times New Roman"/>
                <w:sz w:val="14"/>
              </w:rPr>
              <w:t>Direct NT typological interpretation.</w:t>
            </w:r>
          </w:p>
        </w:tc>
      </w:tr>
      <w:tr>
        <w:tc>
          <w:tcPr>
            <w:tcW w:type="dxa" w:w="3561"/>
            <w:vAlign w:val="top"/>
          </w:tcPr>
          <w:p>
            <w:pPr>
              <w:spacing w:after="0"/>
            </w:pPr>
            <w:r>
              <w:rPr>
                <w:rFonts w:ascii="Times New Roman" w:hAnsi="Times New Roman"/>
                <w:sz w:val="14"/>
              </w:rPr>
              <w:t>Christ’s status</w:t>
            </w:r>
          </w:p>
        </w:tc>
        <w:tc>
          <w:tcPr>
            <w:tcW w:type="dxa" w:w="3561"/>
            <w:vAlign w:val="top"/>
          </w:tcPr>
          <w:p>
            <w:pPr>
              <w:spacing w:after="0"/>
            </w:pPr>
            <w:r>
              <w:rPr>
                <w:rFonts w:ascii="Times New Roman" w:hAnsi="Times New Roman"/>
                <w:sz w:val="14"/>
              </w:rPr>
              <w:t>without blemish / personally sinless</w:t>
            </w:r>
          </w:p>
        </w:tc>
        <w:tc>
          <w:tcPr>
            <w:tcW w:type="dxa" w:w="3561"/>
            <w:vAlign w:val="top"/>
          </w:tcPr>
          <w:p>
            <w:pPr>
              <w:spacing w:after="0"/>
            </w:pPr>
            <w:r>
              <w:rPr>
                <w:rFonts w:ascii="Times New Roman" w:hAnsi="Times New Roman"/>
                <w:sz w:val="14"/>
              </w:rPr>
              <w:t>Do not repeat Mansfield’s wording as if Christ were ceremonially/morally unclean.</w:t>
            </w:r>
          </w:p>
        </w:tc>
      </w:tr>
    </w:tbl>
    <w:p>
      <w:pPr>
        <w:pStyle w:val="Heading1"/>
      </w:pPr>
      <w:r>
        <w:t>RESIDUAL UNCERTAINTIES</w:t>
      </w:r>
    </w:p>
    <w:p>
      <w:pPr/>
      <w:r>
        <w:rPr>
          <w:i w:val="0"/>
        </w:rPr>
        <w:t>The exact shade of “red,” the heifer’s precise age, and later rabbinic qualification rules are not supplied by Numbers. The symbolic meaning of each burning material is not explained. Mansfield’s claims that Christ became physically/ceremonially unclean are not retained as factual theology; Hebrews 9:13–14 provides the controlling New Testament comparison.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