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20</w:t>
      </w:r>
    </w:p>
    <w:p>
      <w:pPr>
        <w:pStyle w:val="Subtitle"/>
      </w:pPr>
      <w:r>
        <w:t>MIRIAM DIES • WATER FROM THE ROCK • “SPEAK YE UNTO THE ROCK” • MOSES STRIKES TWICE • YAHWEH NOT SANCTIFIED • MERIBAH • EDOM REFUSES PASSAGE • AARON DIES AND ELEAZAR SUCCEEDS</w:t>
      </w:r>
    </w:p>
    <w:p>
      <w:pPr/>
      <w:r>
        <w:rPr>
          <w:i/>
        </w:rPr>
        <w:t>H. P. Mansfield Bible notes — checked and arranged in verse-by-verse Expositor style</w:t>
      </w:r>
    </w:p>
    <w:p>
      <w:pPr/>
      <w:r>
        <w:rPr>
          <w:i w:val="0"/>
        </w:rPr>
        <w:t>Source: HPB 03-Lev12-Num36.PDF, mainly pp. 70–71; cross-checked with Mansfield’s Numbers Expositor Chapter 20.</w:t>
      </w:r>
    </w:p>
    <w:p>
      <w:pPr>
        <w:pStyle w:val="Heading1"/>
      </w:pPr>
      <w:r>
        <w:t>CHAPTER OVERVIEW</w:t>
      </w:r>
    </w:p>
    <w:p>
      <w:pPr/>
      <w:r>
        <w:rPr>
          <w:i w:val="0"/>
        </w:rPr>
        <w:t>Numbers 20 opens the final movement toward the land with a sombre transition in leadership. Miriam dies, Moses and Aaron fail at Meribah, Edom refuses passage, and Aaron dies after the high-priestly garments pass to Eleazar.</w:t>
      </w:r>
    </w:p>
    <w:p>
      <w:pPr/>
      <w:r>
        <w:rPr>
          <w:i w:val="0"/>
        </w:rPr>
        <w:t>The chapter belongs to the fortieth year when read with Numbers 33:38 and the broader chronology, but Numbers 20:1 itself states only “the first month.” That distinction is preserved.</w:t>
      </w:r>
    </w:p>
    <w:p>
      <w:pPr>
        <w:pStyle w:val="Heading1"/>
      </w:pPr>
      <w:r>
        <w:t>MIRIAM DIES AT KADESH — NUMBERS 20:1</w:t>
      </w:r>
    </w:p>
    <w:p>
      <w:pPr>
        <w:pStyle w:val="Heading2"/>
      </w:pPr>
      <w:r>
        <w:t>Numbers 20:1 — first month; Miriam dies and is buried</w:t>
      </w:r>
    </w:p>
    <w:p>
      <w:pPr/>
      <w:r>
        <w:rPr>
          <w:i w:val="0"/>
        </w:rPr>
        <w:t>Israel comes into the wilderness of Zin and stays at Kadesh. Miriam dies and is buried there.</w:t>
      </w:r>
    </w:p>
    <w:p>
      <w:pPr/>
      <w:r>
        <w:rPr>
          <w:i w:val="0"/>
        </w:rPr>
        <w:t>The verse does not itself say “fortieth year.” That dating is inferred from the chapter’s connection with Aaron’s death, which Numbers 33:38 explicitly places in the fortieth year. Josephus’ claimed thirty-day mourning for Miriam is not stated in Scripture.</w:t>
      </w:r>
    </w:p>
    <w:p>
      <w:pPr>
        <w:pStyle w:val="Heading1"/>
      </w:pPr>
      <w:r>
        <w:t>MERIBAH — NUMBERS 20:2–13</w:t>
      </w:r>
    </w:p>
    <w:p>
      <w:pPr>
        <w:pStyle w:val="Heading2"/>
      </w:pPr>
      <w:r>
        <w:t>Numbers 20:2–5 — no water and renewed contention</w:t>
      </w:r>
    </w:p>
    <w:p>
      <w:pPr/>
      <w:r>
        <w:rPr>
          <w:i w:val="0"/>
        </w:rPr>
        <w:t>With no water, the congregation gathers against Moses and Aaron, wishes it had died in the earlier judgment, and complains that the wilderness lacks the fruit and water associated with the promised land.</w:t>
      </w:r>
    </w:p>
    <w:p>
      <w:pPr/>
      <w:r>
        <w:rPr>
          <w:i w:val="0"/>
        </w:rPr>
        <w:t>The complaint repeats the old generation’s pattern even as the journey approaches its final year.</w:t>
      </w:r>
    </w:p>
    <w:p>
      <w:pPr>
        <w:pStyle w:val="Heading2"/>
      </w:pPr>
      <w:r>
        <w:t>Numbers 20:6–8 — take the rod, assemble, and speak to the rock</w:t>
      </w:r>
    </w:p>
    <w:p>
      <w:pPr/>
      <w:r>
        <w:rPr>
          <w:i w:val="0"/>
        </w:rPr>
        <w:t>Moses and Aaron fall before Yahweh and His glory appears. Moses is commanded to take “the rod” and, with Aaron, gather the congregation and speak to the sela‘, rock/crag, before their eyes; it will give water.</w:t>
      </w:r>
    </w:p>
    <w:p>
      <w:pPr/>
      <w:r>
        <w:rPr>
          <w:i w:val="0"/>
        </w:rPr>
        <w:t>Verse 9 says Moses took the rod “from before Yahweh.” It is plausible that this is Aaron’s rod retained before the testimony in Numbers 17:10, but the verse does not explicitly name it as Aaron’s budding rod; Mansfield’s confident identification should be qualified.</w:t>
      </w:r>
    </w:p>
    <w:p>
      <w:pPr>
        <w:pStyle w:val="Heading2"/>
      </w:pPr>
      <w:r>
        <w:t>Numbers 20:9–11 — Moses speaks sharply and strikes twice</w:t>
      </w:r>
    </w:p>
    <w:p>
      <w:pPr/>
      <w:r>
        <w:rPr>
          <w:i w:val="0"/>
        </w:rPr>
        <w:t>Moses takes the rod, gathers the assembly and says, “Hear now, ye rebels; must we fetch you water out of this rock?” He strikes the rock twice, and abundant water flows for people and animals.</w:t>
      </w:r>
    </w:p>
    <w:p>
      <w:pPr/>
      <w:r>
        <w:rPr>
          <w:i w:val="0"/>
        </w:rPr>
        <w:t>The miracle demonstrates Yahweh’s mercy despite the leaders’ failure. Psalm 106:32–33 explicitly says the people provoked Moses and he spoke unadvisedly with his lips.</w:t>
      </w:r>
    </w:p>
    <w:p>
      <w:pPr>
        <w:pStyle w:val="Heading2"/>
      </w:pPr>
      <w:r>
        <w:t>Numbers 20:12 — Yahweh states the decisive failure</w:t>
      </w:r>
    </w:p>
    <w:p>
      <w:pPr/>
      <w:r>
        <w:rPr>
          <w:i w:val="0"/>
        </w:rPr>
        <w:t>Yahweh tells Moses and Aaron: “Because ye believed me not, to sanctify me in the eyes of the children of Israel,” they will not bring the congregation into the land.</w:t>
      </w:r>
    </w:p>
    <w:p>
      <w:pPr/>
      <w:r>
        <w:rPr>
          <w:i w:val="0"/>
        </w:rPr>
        <w:t>The text itself identifies failure to trust and sanctify Yahweh publicly. Striking instead of speaking and Moses’ heated words are part of the scene, but no single speculative motive should replace Yahweh’s own diagnosis.</w:t>
      </w:r>
    </w:p>
    <w:p>
      <w:pPr>
        <w:pStyle w:val="Heading2"/>
      </w:pPr>
      <w:r>
        <w:t>Numbers 20:13 — Meribah and Yahweh sanctified</w:t>
      </w:r>
    </w:p>
    <w:p>
      <w:pPr/>
      <w:r>
        <w:rPr>
          <w:i w:val="0"/>
        </w:rPr>
        <w:t>The place is called waters of Meribah, from the root rib, strive/contend, because Israel strove with Yahweh.</w:t>
      </w:r>
    </w:p>
    <w:p>
      <w:pPr/>
      <w:r>
        <w:rPr>
          <w:i w:val="0"/>
        </w:rPr>
        <w:t>Yahweh “was sanctified in them”: His holiness was demonstrated in dealing with the rebellion and even with His privileged servants. It does not mean Moses’ disobedience itself made God holy.</w:t>
      </w:r>
    </w:p>
    <w:p>
      <w:pPr>
        <w:pStyle w:val="Heading2"/>
      </w:pPr>
      <w:r>
        <w:t>The two rocks — typology with caution</w:t>
      </w:r>
    </w:p>
    <w:p>
      <w:pPr/>
      <w:r>
        <w:rPr>
          <w:i w:val="0"/>
        </w:rPr>
        <w:t>Mansfield distinguishes the tsur of Exodus 17 from the sela‘ of Numbers 20 and develops a “once smitten, now spoken to” Christological type. First Corinthians 10:4 directly calls the spiritual Rock Christ, giving broad typological warrant.</w:t>
      </w:r>
    </w:p>
    <w:p>
      <w:pPr/>
      <w:r>
        <w:rPr>
          <w:i w:val="0"/>
        </w:rPr>
        <w:t>However, the claim that the two Hebrew rock words prove two distinct Christological stages is exposition rather than an inspired interpretation. The secure historical contrast is that Exodus 17 commanded striking, whereas Numbers 20 commands speaking.</w:t>
      </w:r>
    </w:p>
    <w:p>
      <w:pPr>
        <w:pStyle w:val="Heading1"/>
      </w:pPr>
      <w:r>
        <w:t>EDOM REFUSES PASSAGE — NUMBERS 20:14–21</w:t>
      </w:r>
    </w:p>
    <w:p>
      <w:pPr>
        <w:pStyle w:val="Heading2"/>
      </w:pPr>
      <w:r>
        <w:t>Numbers 20:14–17 — “thy brother Israel” asks peacefully</w:t>
      </w:r>
    </w:p>
    <w:p>
      <w:pPr/>
      <w:r>
        <w:rPr>
          <w:i w:val="0"/>
        </w:rPr>
        <w:t>Moses addresses the king of Edom as Israel’s brother and recounts Israel’s suffering and deliverance, requesting passage by the king’s highway without turning into field or vineyard or drinking from wells.</w:t>
      </w:r>
    </w:p>
    <w:p>
      <w:pPr/>
      <w:r>
        <w:rPr>
          <w:i w:val="0"/>
        </w:rPr>
        <w:t>The brother language rests on Jacob and Esau’s kinship.</w:t>
      </w:r>
    </w:p>
    <w:p>
      <w:pPr>
        <w:pStyle w:val="Heading2"/>
      </w:pPr>
      <w:r>
        <w:t>Numbers 20:18–20 — Edom refuses even after payment is offered</w:t>
      </w:r>
    </w:p>
    <w:p>
      <w:pPr/>
      <w:r>
        <w:rPr>
          <w:i w:val="0"/>
        </w:rPr>
        <w:t>Edom threatens military resistance. Israel renews the request and offers to pay for water, but Edom comes out with many people and a strong hand.</w:t>
      </w:r>
    </w:p>
    <w:p>
      <w:pPr/>
      <w:r>
        <w:rPr>
          <w:i w:val="0"/>
        </w:rPr>
        <w:t>“King’s highway” denotes the established royal/main route; it need not be equated with one exactly mapped modern road in every segment.</w:t>
      </w:r>
    </w:p>
    <w:p>
      <w:pPr>
        <w:pStyle w:val="Heading2"/>
      </w:pPr>
      <w:r>
        <w:t>Numbers 20:21 — Israel turns away</w:t>
      </w:r>
    </w:p>
    <w:p>
      <w:pPr/>
      <w:r>
        <w:rPr>
          <w:i w:val="0"/>
        </w:rPr>
        <w:t>Israel does not force passage. Deuteronomy 2:4–5 supplies the theological reason: Israel must not contend with Edom because Yahweh has given Mount Seir to Esau as a possession.</w:t>
      </w:r>
    </w:p>
    <w:p>
      <w:pPr/>
      <w:r>
        <w:rPr>
          <w:i w:val="0"/>
        </w:rPr>
        <w:t>Restraint is therefore obedience, not inability to fight.</w:t>
      </w:r>
    </w:p>
    <w:p>
      <w:pPr>
        <w:pStyle w:val="Heading1"/>
      </w:pPr>
      <w:r>
        <w:t>AARON DIES — NUMBERS 20:22–29</w:t>
      </w:r>
    </w:p>
    <w:p>
      <w:pPr>
        <w:pStyle w:val="Heading2"/>
      </w:pPr>
      <w:r>
        <w:t>Numbers 20:22–24 — Mount Hor on Edom’s border</w:t>
      </w:r>
    </w:p>
    <w:p>
      <w:pPr/>
      <w:r>
        <w:rPr>
          <w:i w:val="0"/>
        </w:rPr>
        <w:t>The congregation journeys from Kadesh to Mount Hor on the border of Edom. Yahweh tells Aaron he will be gathered to his people because Moses and Aaron rebelled at the waters of Meribah.</w:t>
      </w:r>
    </w:p>
    <w:p>
      <w:pPr/>
      <w:r>
        <w:rPr>
          <w:i w:val="0"/>
        </w:rPr>
        <w:t>The traditional identification with Jebel Harun near Petra is famous but disputed; the biblical location should not be stated with false geographical certainty.</w:t>
      </w:r>
    </w:p>
    <w:p>
      <w:pPr>
        <w:pStyle w:val="Heading2"/>
      </w:pPr>
      <w:r>
        <w:t>Numbers 20:25–28 — garments transferred to Eleazar</w:t>
      </w:r>
    </w:p>
    <w:p>
      <w:pPr/>
      <w:r>
        <w:rPr>
          <w:i w:val="0"/>
        </w:rPr>
        <w:t>Moses takes Aaron and Eleazar up Mount Hor, removes Aaron’s priestly garments and puts them on Eleazar. Aaron dies there, and Moses and Eleazar descend.</w:t>
      </w:r>
    </w:p>
    <w:p>
      <w:pPr/>
      <w:r>
        <w:rPr>
          <w:i w:val="0"/>
        </w:rPr>
        <w:t>The visible transfer ensures continuity of Yahweh’s appointment beyond the individual officeholder.</w:t>
      </w:r>
    </w:p>
    <w:p>
      <w:pPr>
        <w:pStyle w:val="Heading2"/>
      </w:pPr>
      <w:r>
        <w:t>Numbers 20:28 with Numbers 33:38–39 — date and age</w:t>
      </w:r>
    </w:p>
    <w:p>
      <w:pPr/>
      <w:r>
        <w:rPr>
          <w:i w:val="0"/>
        </w:rPr>
        <w:t>Numbers 33:38–39 supplies details omitted here: Aaron dies on the first day of the fifth month in the fortieth year after the Exodus, aged 123.</w:t>
      </w:r>
    </w:p>
    <w:p>
      <w:pPr/>
      <w:r>
        <w:rPr>
          <w:i w:val="0"/>
        </w:rPr>
        <w:t>“Gathered unto his people” is a biblical death/family-burial idiom and should not be used to infer conscious immortal survival apart from resurrection.</w:t>
      </w:r>
    </w:p>
    <w:p>
      <w:pPr>
        <w:pStyle w:val="Heading2"/>
      </w:pPr>
      <w:r>
        <w:t>Numbers 20:29 — thirty days of mourning</w:t>
      </w:r>
    </w:p>
    <w:p>
      <w:pPr/>
      <w:r>
        <w:rPr>
          <w:i w:val="0"/>
        </w:rPr>
        <w:t>All the house of Israel mourns Aaron for thirty days.</w:t>
      </w:r>
    </w:p>
    <w:p>
      <w:pPr>
        <w:pStyle w:val="Heading1"/>
      </w:pPr>
      <w:r>
        <w:t>PRINCIPAL THEMES</w:t>
      </w:r>
    </w:p>
    <w:p>
      <w:pPr>
        <w:ind w:left="259" w:hanging="202"/>
      </w:pPr>
      <w:r>
        <w:rPr>
          <w:b/>
        </w:rPr>
        <w:t xml:space="preserve">• </w:t>
      </w:r>
      <w:r>
        <w:t>The chapter’s fortieth-year setting is inferred from linked chronology; Numbers 20:1 itself gives only the first month.</w:t>
      </w:r>
    </w:p>
    <w:p>
      <w:pPr>
        <w:ind w:left="259" w:hanging="202"/>
      </w:pPr>
      <w:r>
        <w:rPr>
          <w:b/>
        </w:rPr>
        <w:t xml:space="preserve">• </w:t>
      </w:r>
      <w:r>
        <w:t>Moses is commanded to speak to the rock; the rod from before Yahweh is taken, but the text does not explicitly call it Aaron’s budding rod.</w:t>
      </w:r>
    </w:p>
    <w:p>
      <w:pPr>
        <w:ind w:left="259" w:hanging="202"/>
      </w:pPr>
      <w:r>
        <w:rPr>
          <w:b/>
        </w:rPr>
        <w:t xml:space="preserve">• </w:t>
      </w:r>
      <w:r>
        <w:t>Psalm 106:32–33 directly identifies provocation and Moses’ unadvised speech.</w:t>
      </w:r>
    </w:p>
    <w:p>
      <w:pPr>
        <w:ind w:left="259" w:hanging="202"/>
      </w:pPr>
      <w:r>
        <w:rPr>
          <w:b/>
        </w:rPr>
        <w:t xml:space="preserve">• </w:t>
      </w:r>
      <w:r>
        <w:t>Yahweh’s own diagnosis is unbelief/failure to sanctify Him publicly.</w:t>
      </w:r>
    </w:p>
    <w:p>
      <w:pPr>
        <w:ind w:left="259" w:hanging="202"/>
      </w:pPr>
      <w:r>
        <w:rPr>
          <w:b/>
        </w:rPr>
        <w:t xml:space="preserve">• </w:t>
      </w:r>
      <w:r>
        <w:t>Water still flows abundantly: Divine provision does not imply approval of Moses’ action.</w:t>
      </w:r>
    </w:p>
    <w:p>
      <w:pPr>
        <w:ind w:left="259" w:hanging="202"/>
      </w:pPr>
      <w:r>
        <w:rPr>
          <w:b/>
        </w:rPr>
        <w:t xml:space="preserve">• </w:t>
      </w:r>
      <w:r>
        <w:t>Meribah derives from contention/strife; Yahweh’s holiness is manifested in judgment.</w:t>
      </w:r>
    </w:p>
    <w:p>
      <w:pPr>
        <w:ind w:left="259" w:hanging="202"/>
      </w:pPr>
      <w:r>
        <w:rPr>
          <w:b/>
        </w:rPr>
        <w:t xml:space="preserve">• </w:t>
      </w:r>
      <w:r>
        <w:t>The Exodus 17 / Numbers 20 rock distinction supports typology only secondarily; the explicit contrast is strike then versus speak now.</w:t>
      </w:r>
    </w:p>
    <w:p>
      <w:pPr>
        <w:ind w:left="259" w:hanging="202"/>
      </w:pPr>
      <w:r>
        <w:rPr>
          <w:b/>
        </w:rPr>
        <w:t xml:space="preserve">• </w:t>
      </w:r>
      <w:r>
        <w:t>Israel turns away from Edom because it is not authorised to seize Esau’s inheritance.</w:t>
      </w:r>
    </w:p>
    <w:p>
      <w:pPr>
        <w:ind w:left="259" w:hanging="202"/>
      </w:pPr>
      <w:r>
        <w:rPr>
          <w:b/>
        </w:rPr>
        <w:t xml:space="preserve">• </w:t>
      </w:r>
      <w:r>
        <w:t>Mount Hor’s exact modern identification remains uncertain.</w:t>
      </w:r>
    </w:p>
    <w:p>
      <w:pPr>
        <w:ind w:left="259" w:hanging="202"/>
      </w:pPr>
      <w:r>
        <w:rPr>
          <w:b/>
        </w:rPr>
        <w:t xml:space="preserve">• </w:t>
      </w:r>
      <w:r>
        <w:t>Aaron’s garments pass to Eleazar before Aaron dies, visibly continuing the high priesthood.</w:t>
      </w:r>
    </w:p>
    <w:p>
      <w:pPr>
        <w:ind w:left="259" w:hanging="202"/>
      </w:pPr>
      <w:r>
        <w:rPr>
          <w:b/>
        </w:rPr>
        <w:t xml:space="preserve">• </w:t>
      </w:r>
      <w:r>
        <w:t>Numbers 33:38–39 gives Aaron’s death date and age.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20:1</w:t>
            </w:r>
          </w:p>
        </w:tc>
        <w:tc>
          <w:tcPr>
            <w:tcW w:type="dxa" w:w="3561"/>
            <w:vAlign w:val="top"/>
          </w:tcPr>
          <w:p>
            <w:pPr>
              <w:spacing w:after="0"/>
            </w:pPr>
            <w:r>
              <w:rPr>
                <w:rFonts w:ascii="Times New Roman" w:hAnsi="Times New Roman"/>
                <w:sz w:val="14"/>
              </w:rPr>
              <w:t>first month only</w:t>
            </w:r>
          </w:p>
        </w:tc>
        <w:tc>
          <w:tcPr>
            <w:tcW w:type="dxa" w:w="3561"/>
            <w:vAlign w:val="top"/>
          </w:tcPr>
          <w:p>
            <w:pPr>
              <w:spacing w:after="0"/>
            </w:pPr>
            <w:r>
              <w:rPr>
                <w:rFonts w:ascii="Times New Roman" w:hAnsi="Times New Roman"/>
                <w:sz w:val="14"/>
              </w:rPr>
              <w:t>Fortieth-year date inferred from Num. 33:38 and context.</w:t>
            </w:r>
          </w:p>
        </w:tc>
      </w:tr>
      <w:tr>
        <w:tc>
          <w:tcPr>
            <w:tcW w:type="dxa" w:w="3561"/>
            <w:vAlign w:val="top"/>
          </w:tcPr>
          <w:p>
            <w:pPr>
              <w:spacing w:after="0"/>
            </w:pPr>
            <w:r>
              <w:rPr>
                <w:rFonts w:ascii="Times New Roman" w:hAnsi="Times New Roman"/>
                <w:sz w:val="14"/>
              </w:rPr>
              <w:t>Num. 20:1</w:t>
            </w:r>
          </w:p>
        </w:tc>
        <w:tc>
          <w:tcPr>
            <w:tcW w:type="dxa" w:w="3561"/>
            <w:vAlign w:val="top"/>
          </w:tcPr>
          <w:p>
            <w:pPr>
              <w:spacing w:after="0"/>
            </w:pPr>
            <w:r>
              <w:rPr>
                <w:rFonts w:ascii="Times New Roman" w:hAnsi="Times New Roman"/>
                <w:sz w:val="14"/>
              </w:rPr>
              <w:t>Miriam burial</w:t>
            </w:r>
          </w:p>
        </w:tc>
        <w:tc>
          <w:tcPr>
            <w:tcW w:type="dxa" w:w="3561"/>
            <w:vAlign w:val="top"/>
          </w:tcPr>
          <w:p>
            <w:pPr>
              <w:spacing w:after="0"/>
            </w:pPr>
            <w:r>
              <w:rPr>
                <w:rFonts w:ascii="Times New Roman" w:hAnsi="Times New Roman"/>
                <w:sz w:val="14"/>
              </w:rPr>
              <w:t>Buried at Kadesh; no biblical 30-day mourning statement.</w:t>
            </w:r>
          </w:p>
        </w:tc>
      </w:tr>
      <w:tr>
        <w:tc>
          <w:tcPr>
            <w:tcW w:type="dxa" w:w="3561"/>
            <w:vAlign w:val="top"/>
          </w:tcPr>
          <w:p>
            <w:pPr>
              <w:spacing w:after="0"/>
            </w:pPr>
            <w:r>
              <w:rPr>
                <w:rFonts w:ascii="Times New Roman" w:hAnsi="Times New Roman"/>
                <w:sz w:val="14"/>
              </w:rPr>
              <w:t>Num. 20:8</w:t>
            </w:r>
          </w:p>
        </w:tc>
        <w:tc>
          <w:tcPr>
            <w:tcW w:type="dxa" w:w="3561"/>
            <w:vAlign w:val="top"/>
          </w:tcPr>
          <w:p>
            <w:pPr>
              <w:spacing w:after="0"/>
            </w:pPr>
            <w:r>
              <w:rPr>
                <w:rFonts w:ascii="Times New Roman" w:hAnsi="Times New Roman"/>
                <w:sz w:val="14"/>
              </w:rPr>
              <w:t>sela‘</w:t>
            </w:r>
          </w:p>
        </w:tc>
        <w:tc>
          <w:tcPr>
            <w:tcW w:type="dxa" w:w="3561"/>
            <w:vAlign w:val="top"/>
          </w:tcPr>
          <w:p>
            <w:pPr>
              <w:spacing w:after="0"/>
            </w:pPr>
            <w:r>
              <w:rPr>
                <w:rFonts w:ascii="Times New Roman" w:hAnsi="Times New Roman"/>
                <w:sz w:val="14"/>
              </w:rPr>
              <w:t>Rock/crag; commanded action is speech.</w:t>
            </w:r>
          </w:p>
        </w:tc>
      </w:tr>
      <w:tr>
        <w:tc>
          <w:tcPr>
            <w:tcW w:type="dxa" w:w="3561"/>
            <w:vAlign w:val="top"/>
          </w:tcPr>
          <w:p>
            <w:pPr>
              <w:spacing w:after="0"/>
            </w:pPr>
            <w:r>
              <w:rPr>
                <w:rFonts w:ascii="Times New Roman" w:hAnsi="Times New Roman"/>
                <w:sz w:val="14"/>
              </w:rPr>
              <w:t>Num. 20:9</w:t>
            </w:r>
          </w:p>
        </w:tc>
        <w:tc>
          <w:tcPr>
            <w:tcW w:type="dxa" w:w="3561"/>
            <w:vAlign w:val="top"/>
          </w:tcPr>
          <w:p>
            <w:pPr>
              <w:spacing w:after="0"/>
            </w:pPr>
            <w:r>
              <w:rPr>
                <w:rFonts w:ascii="Times New Roman" w:hAnsi="Times New Roman"/>
                <w:sz w:val="14"/>
              </w:rPr>
              <w:t>rod from before Yahweh</w:t>
            </w:r>
          </w:p>
        </w:tc>
        <w:tc>
          <w:tcPr>
            <w:tcW w:type="dxa" w:w="3561"/>
            <w:vAlign w:val="top"/>
          </w:tcPr>
          <w:p>
            <w:pPr>
              <w:spacing w:after="0"/>
            </w:pPr>
            <w:r>
              <w:rPr>
                <w:rFonts w:ascii="Times New Roman" w:hAnsi="Times New Roman"/>
                <w:sz w:val="14"/>
              </w:rPr>
              <w:t>Possibly Aaron’s rod of Num. 17:10, but not explicitly named.</w:t>
            </w:r>
          </w:p>
        </w:tc>
      </w:tr>
      <w:tr>
        <w:tc>
          <w:tcPr>
            <w:tcW w:type="dxa" w:w="3561"/>
            <w:vAlign w:val="top"/>
          </w:tcPr>
          <w:p>
            <w:pPr>
              <w:spacing w:after="0"/>
            </w:pPr>
            <w:r>
              <w:rPr>
                <w:rFonts w:ascii="Times New Roman" w:hAnsi="Times New Roman"/>
                <w:sz w:val="14"/>
              </w:rPr>
              <w:t>Num. 20:10</w:t>
            </w:r>
          </w:p>
        </w:tc>
        <w:tc>
          <w:tcPr>
            <w:tcW w:type="dxa" w:w="3561"/>
            <w:vAlign w:val="top"/>
          </w:tcPr>
          <w:p>
            <w:pPr>
              <w:spacing w:after="0"/>
            </w:pPr>
            <w:r>
              <w:rPr>
                <w:rFonts w:ascii="Times New Roman" w:hAnsi="Times New Roman"/>
                <w:sz w:val="14"/>
              </w:rPr>
              <w:t>“must we fetch”</w:t>
            </w:r>
          </w:p>
        </w:tc>
        <w:tc>
          <w:tcPr>
            <w:tcW w:type="dxa" w:w="3561"/>
            <w:vAlign w:val="top"/>
          </w:tcPr>
          <w:p>
            <w:pPr>
              <w:spacing w:after="0"/>
            </w:pPr>
            <w:r>
              <w:rPr>
                <w:rFonts w:ascii="Times New Roman" w:hAnsi="Times New Roman"/>
                <w:sz w:val="14"/>
              </w:rPr>
              <w:t>Moses/Aaron language; avoid overdefining motive beyond v.12.</w:t>
            </w:r>
          </w:p>
        </w:tc>
      </w:tr>
      <w:tr>
        <w:tc>
          <w:tcPr>
            <w:tcW w:type="dxa" w:w="3561"/>
            <w:vAlign w:val="top"/>
          </w:tcPr>
          <w:p>
            <w:pPr>
              <w:spacing w:after="0"/>
            </w:pPr>
            <w:r>
              <w:rPr>
                <w:rFonts w:ascii="Times New Roman" w:hAnsi="Times New Roman"/>
                <w:sz w:val="14"/>
              </w:rPr>
              <w:t>Num. 20:11</w:t>
            </w:r>
          </w:p>
        </w:tc>
        <w:tc>
          <w:tcPr>
            <w:tcW w:type="dxa" w:w="3561"/>
            <w:vAlign w:val="top"/>
          </w:tcPr>
          <w:p>
            <w:pPr>
              <w:spacing w:after="0"/>
            </w:pPr>
            <w:r>
              <w:rPr>
                <w:rFonts w:ascii="Times New Roman" w:hAnsi="Times New Roman"/>
                <w:sz w:val="14"/>
              </w:rPr>
              <w:t>struck twice</w:t>
            </w:r>
          </w:p>
        </w:tc>
        <w:tc>
          <w:tcPr>
            <w:tcW w:type="dxa" w:w="3561"/>
            <w:vAlign w:val="top"/>
          </w:tcPr>
          <w:p>
            <w:pPr>
              <w:spacing w:after="0"/>
            </w:pPr>
            <w:r>
              <w:rPr>
                <w:rFonts w:ascii="Times New Roman" w:hAnsi="Times New Roman"/>
                <w:sz w:val="14"/>
              </w:rPr>
              <w:t>Contrary to commanded speech; water nevertheless abundant.</w:t>
            </w:r>
          </w:p>
        </w:tc>
      </w:tr>
      <w:tr>
        <w:tc>
          <w:tcPr>
            <w:tcW w:type="dxa" w:w="3561"/>
            <w:vAlign w:val="top"/>
          </w:tcPr>
          <w:p>
            <w:pPr>
              <w:spacing w:after="0"/>
            </w:pPr>
            <w:r>
              <w:rPr>
                <w:rFonts w:ascii="Times New Roman" w:hAnsi="Times New Roman"/>
                <w:sz w:val="14"/>
              </w:rPr>
              <w:t>Ps. 106:32–33</w:t>
            </w:r>
          </w:p>
        </w:tc>
        <w:tc>
          <w:tcPr>
            <w:tcW w:type="dxa" w:w="3561"/>
            <w:vAlign w:val="top"/>
          </w:tcPr>
          <w:p>
            <w:pPr>
              <w:spacing w:after="0"/>
            </w:pPr>
            <w:r>
              <w:rPr>
                <w:rFonts w:ascii="Times New Roman" w:hAnsi="Times New Roman"/>
                <w:sz w:val="14"/>
              </w:rPr>
              <w:t>provoked / spoke unadvisedly</w:t>
            </w:r>
          </w:p>
        </w:tc>
        <w:tc>
          <w:tcPr>
            <w:tcW w:type="dxa" w:w="3561"/>
            <w:vAlign w:val="top"/>
          </w:tcPr>
          <w:p>
            <w:pPr>
              <w:spacing w:after="0"/>
            </w:pPr>
            <w:r>
              <w:rPr>
                <w:rFonts w:ascii="Times New Roman" w:hAnsi="Times New Roman"/>
                <w:sz w:val="14"/>
              </w:rPr>
              <w:t>Direct inspired commentary.</w:t>
            </w:r>
          </w:p>
        </w:tc>
      </w:tr>
      <w:tr>
        <w:tc>
          <w:tcPr>
            <w:tcW w:type="dxa" w:w="3561"/>
            <w:vAlign w:val="top"/>
          </w:tcPr>
          <w:p>
            <w:pPr>
              <w:spacing w:after="0"/>
            </w:pPr>
            <w:r>
              <w:rPr>
                <w:rFonts w:ascii="Times New Roman" w:hAnsi="Times New Roman"/>
                <w:sz w:val="14"/>
              </w:rPr>
              <w:t>Num. 20:12</w:t>
            </w:r>
          </w:p>
        </w:tc>
        <w:tc>
          <w:tcPr>
            <w:tcW w:type="dxa" w:w="3561"/>
            <w:vAlign w:val="top"/>
          </w:tcPr>
          <w:p>
            <w:pPr>
              <w:spacing w:after="0"/>
            </w:pPr>
            <w:r>
              <w:rPr>
                <w:rFonts w:ascii="Times New Roman" w:hAnsi="Times New Roman"/>
                <w:sz w:val="14"/>
              </w:rPr>
              <w:t>believed me not / sanctify me not</w:t>
            </w:r>
          </w:p>
        </w:tc>
        <w:tc>
          <w:tcPr>
            <w:tcW w:type="dxa" w:w="3561"/>
            <w:vAlign w:val="top"/>
          </w:tcPr>
          <w:p>
            <w:pPr>
              <w:spacing w:after="0"/>
            </w:pPr>
            <w:r>
              <w:rPr>
                <w:rFonts w:ascii="Times New Roman" w:hAnsi="Times New Roman"/>
                <w:sz w:val="14"/>
              </w:rPr>
              <w:t>Yahweh’s explicit diagnosis.</w:t>
            </w:r>
          </w:p>
        </w:tc>
      </w:tr>
      <w:tr>
        <w:tc>
          <w:tcPr>
            <w:tcW w:type="dxa" w:w="3561"/>
            <w:vAlign w:val="top"/>
          </w:tcPr>
          <w:p>
            <w:pPr>
              <w:spacing w:after="0"/>
            </w:pPr>
            <w:r>
              <w:rPr>
                <w:rFonts w:ascii="Times New Roman" w:hAnsi="Times New Roman"/>
                <w:sz w:val="14"/>
              </w:rPr>
              <w:t>Num. 20:13</w:t>
            </w:r>
          </w:p>
        </w:tc>
        <w:tc>
          <w:tcPr>
            <w:tcW w:type="dxa" w:w="3561"/>
            <w:vAlign w:val="top"/>
          </w:tcPr>
          <w:p>
            <w:pPr>
              <w:spacing w:after="0"/>
            </w:pPr>
            <w:r>
              <w:rPr>
                <w:rFonts w:ascii="Times New Roman" w:hAnsi="Times New Roman"/>
                <w:sz w:val="14"/>
              </w:rPr>
              <w:t>Meribah / rib</w:t>
            </w:r>
          </w:p>
        </w:tc>
        <w:tc>
          <w:tcPr>
            <w:tcW w:type="dxa" w:w="3561"/>
            <w:vAlign w:val="top"/>
          </w:tcPr>
          <w:p>
            <w:pPr>
              <w:spacing w:after="0"/>
            </w:pPr>
            <w:r>
              <w:rPr>
                <w:rFonts w:ascii="Times New Roman" w:hAnsi="Times New Roman"/>
                <w:sz w:val="14"/>
              </w:rPr>
              <w:t>Contention/strife wordplay.</w:t>
            </w:r>
          </w:p>
        </w:tc>
      </w:tr>
      <w:tr>
        <w:tc>
          <w:tcPr>
            <w:tcW w:type="dxa" w:w="3561"/>
            <w:vAlign w:val="top"/>
          </w:tcPr>
          <w:p>
            <w:pPr>
              <w:spacing w:after="0"/>
            </w:pPr>
            <w:r>
              <w:rPr>
                <w:rFonts w:ascii="Times New Roman" w:hAnsi="Times New Roman"/>
                <w:sz w:val="14"/>
              </w:rPr>
              <w:t>Num. 20:13</w:t>
            </w:r>
          </w:p>
        </w:tc>
        <w:tc>
          <w:tcPr>
            <w:tcW w:type="dxa" w:w="3561"/>
            <w:vAlign w:val="top"/>
          </w:tcPr>
          <w:p>
            <w:pPr>
              <w:spacing w:after="0"/>
            </w:pPr>
            <w:r>
              <w:rPr>
                <w:rFonts w:ascii="Times New Roman" w:hAnsi="Times New Roman"/>
                <w:sz w:val="14"/>
              </w:rPr>
              <w:t>Yahweh sanctified</w:t>
            </w:r>
          </w:p>
        </w:tc>
        <w:tc>
          <w:tcPr>
            <w:tcW w:type="dxa" w:w="3561"/>
            <w:vAlign w:val="top"/>
          </w:tcPr>
          <w:p>
            <w:pPr>
              <w:spacing w:after="0"/>
            </w:pPr>
            <w:r>
              <w:rPr>
                <w:rFonts w:ascii="Times New Roman" w:hAnsi="Times New Roman"/>
                <w:sz w:val="14"/>
              </w:rPr>
              <w:t>Holiness manifested in His dealing/judgment.</w:t>
            </w:r>
          </w:p>
        </w:tc>
      </w:tr>
      <w:tr>
        <w:tc>
          <w:tcPr>
            <w:tcW w:type="dxa" w:w="3561"/>
            <w:vAlign w:val="top"/>
          </w:tcPr>
          <w:p>
            <w:pPr>
              <w:spacing w:after="0"/>
            </w:pPr>
            <w:r>
              <w:rPr>
                <w:rFonts w:ascii="Times New Roman" w:hAnsi="Times New Roman"/>
                <w:sz w:val="14"/>
              </w:rPr>
              <w:t>Ex. 17 vs Num. 20</w:t>
            </w:r>
          </w:p>
        </w:tc>
        <w:tc>
          <w:tcPr>
            <w:tcW w:type="dxa" w:w="3561"/>
            <w:vAlign w:val="top"/>
          </w:tcPr>
          <w:p>
            <w:pPr>
              <w:spacing w:after="0"/>
            </w:pPr>
            <w:r>
              <w:rPr>
                <w:rFonts w:ascii="Times New Roman" w:hAnsi="Times New Roman"/>
                <w:sz w:val="14"/>
              </w:rPr>
              <w:t>tsur / sela‘</w:t>
            </w:r>
          </w:p>
        </w:tc>
        <w:tc>
          <w:tcPr>
            <w:tcW w:type="dxa" w:w="3561"/>
            <w:vAlign w:val="top"/>
          </w:tcPr>
          <w:p>
            <w:pPr>
              <w:spacing w:after="0"/>
            </w:pPr>
            <w:r>
              <w:rPr>
                <w:rFonts w:ascii="Times New Roman" w:hAnsi="Times New Roman"/>
                <w:sz w:val="14"/>
              </w:rPr>
              <w:t>Different rock nouns; Mansfield’s detailed two-stage type is interpretive.</w:t>
            </w:r>
          </w:p>
        </w:tc>
      </w:tr>
      <w:tr>
        <w:tc>
          <w:tcPr>
            <w:tcW w:type="dxa" w:w="3561"/>
            <w:vAlign w:val="top"/>
          </w:tcPr>
          <w:p>
            <w:pPr>
              <w:spacing w:after="0"/>
            </w:pPr>
            <w:r>
              <w:rPr>
                <w:rFonts w:ascii="Times New Roman" w:hAnsi="Times New Roman"/>
                <w:sz w:val="14"/>
              </w:rPr>
              <w:t>1 Cor. 10:4</w:t>
            </w:r>
          </w:p>
        </w:tc>
        <w:tc>
          <w:tcPr>
            <w:tcW w:type="dxa" w:w="3561"/>
            <w:vAlign w:val="top"/>
          </w:tcPr>
          <w:p>
            <w:pPr>
              <w:spacing w:after="0"/>
            </w:pPr>
            <w:r>
              <w:rPr>
                <w:rFonts w:ascii="Times New Roman" w:hAnsi="Times New Roman"/>
                <w:sz w:val="14"/>
              </w:rPr>
              <w:t>the Rock was Christ</w:t>
            </w:r>
          </w:p>
        </w:tc>
        <w:tc>
          <w:tcPr>
            <w:tcW w:type="dxa" w:w="3561"/>
            <w:vAlign w:val="top"/>
          </w:tcPr>
          <w:p>
            <w:pPr>
              <w:spacing w:after="0"/>
            </w:pPr>
            <w:r>
              <w:rPr>
                <w:rFonts w:ascii="Times New Roman" w:hAnsi="Times New Roman"/>
                <w:sz w:val="14"/>
              </w:rPr>
              <w:t>Direct NT broad typological warrant.</w:t>
            </w:r>
          </w:p>
        </w:tc>
      </w:tr>
      <w:tr>
        <w:tc>
          <w:tcPr>
            <w:tcW w:type="dxa" w:w="3561"/>
            <w:vAlign w:val="top"/>
          </w:tcPr>
          <w:p>
            <w:pPr>
              <w:spacing w:after="0"/>
            </w:pPr>
            <w:r>
              <w:rPr>
                <w:rFonts w:ascii="Times New Roman" w:hAnsi="Times New Roman"/>
                <w:sz w:val="14"/>
              </w:rPr>
              <w:t>Num. 20:14</w:t>
            </w:r>
          </w:p>
        </w:tc>
        <w:tc>
          <w:tcPr>
            <w:tcW w:type="dxa" w:w="3561"/>
            <w:vAlign w:val="top"/>
          </w:tcPr>
          <w:p>
            <w:pPr>
              <w:spacing w:after="0"/>
            </w:pPr>
            <w:r>
              <w:rPr>
                <w:rFonts w:ascii="Times New Roman" w:hAnsi="Times New Roman"/>
                <w:sz w:val="14"/>
              </w:rPr>
              <w:t>Edom = brother</w:t>
            </w:r>
          </w:p>
        </w:tc>
        <w:tc>
          <w:tcPr>
            <w:tcW w:type="dxa" w:w="3561"/>
            <w:vAlign w:val="top"/>
          </w:tcPr>
          <w:p>
            <w:pPr>
              <w:spacing w:after="0"/>
            </w:pPr>
            <w:r>
              <w:rPr>
                <w:rFonts w:ascii="Times New Roman" w:hAnsi="Times New Roman"/>
                <w:sz w:val="14"/>
              </w:rPr>
              <w:t>Jacob/Esau kinship.</w:t>
            </w:r>
          </w:p>
        </w:tc>
      </w:tr>
      <w:tr>
        <w:tc>
          <w:tcPr>
            <w:tcW w:type="dxa" w:w="3561"/>
            <w:vAlign w:val="top"/>
          </w:tcPr>
          <w:p>
            <w:pPr>
              <w:spacing w:after="0"/>
            </w:pPr>
            <w:r>
              <w:rPr>
                <w:rFonts w:ascii="Times New Roman" w:hAnsi="Times New Roman"/>
                <w:sz w:val="14"/>
              </w:rPr>
              <w:t>Num. 20:17</w:t>
            </w:r>
          </w:p>
        </w:tc>
        <w:tc>
          <w:tcPr>
            <w:tcW w:type="dxa" w:w="3561"/>
            <w:vAlign w:val="top"/>
          </w:tcPr>
          <w:p>
            <w:pPr>
              <w:spacing w:after="0"/>
            </w:pPr>
            <w:r>
              <w:rPr>
                <w:rFonts w:ascii="Times New Roman" w:hAnsi="Times New Roman"/>
                <w:sz w:val="14"/>
              </w:rPr>
              <w:t>king’s highway</w:t>
            </w:r>
          </w:p>
        </w:tc>
        <w:tc>
          <w:tcPr>
            <w:tcW w:type="dxa" w:w="3561"/>
            <w:vAlign w:val="top"/>
          </w:tcPr>
          <w:p>
            <w:pPr>
              <w:spacing w:after="0"/>
            </w:pPr>
            <w:r>
              <w:rPr>
                <w:rFonts w:ascii="Times New Roman" w:hAnsi="Times New Roman"/>
                <w:sz w:val="14"/>
              </w:rPr>
              <w:t>Main established route; exact modern alignment uncertain.</w:t>
            </w:r>
          </w:p>
        </w:tc>
      </w:tr>
      <w:tr>
        <w:tc>
          <w:tcPr>
            <w:tcW w:type="dxa" w:w="3561"/>
            <w:vAlign w:val="top"/>
          </w:tcPr>
          <w:p>
            <w:pPr>
              <w:spacing w:after="0"/>
            </w:pPr>
            <w:r>
              <w:rPr>
                <w:rFonts w:ascii="Times New Roman" w:hAnsi="Times New Roman"/>
                <w:sz w:val="14"/>
              </w:rPr>
              <w:t>Num. 20:19</w:t>
            </w:r>
          </w:p>
        </w:tc>
        <w:tc>
          <w:tcPr>
            <w:tcW w:type="dxa" w:w="3561"/>
            <w:vAlign w:val="top"/>
          </w:tcPr>
          <w:p>
            <w:pPr>
              <w:spacing w:after="0"/>
            </w:pPr>
            <w:r>
              <w:rPr>
                <w:rFonts w:ascii="Times New Roman" w:hAnsi="Times New Roman"/>
                <w:sz w:val="14"/>
              </w:rPr>
              <w:t>water paid for</w:t>
            </w:r>
          </w:p>
        </w:tc>
        <w:tc>
          <w:tcPr>
            <w:tcW w:type="dxa" w:w="3561"/>
            <w:vAlign w:val="top"/>
          </w:tcPr>
          <w:p>
            <w:pPr>
              <w:spacing w:after="0"/>
            </w:pPr>
            <w:r>
              <w:rPr>
                <w:rFonts w:ascii="Times New Roman" w:hAnsi="Times New Roman"/>
                <w:sz w:val="14"/>
              </w:rPr>
              <w:t>Israel renews peaceful request.</w:t>
            </w:r>
          </w:p>
        </w:tc>
      </w:tr>
      <w:tr>
        <w:tc>
          <w:tcPr>
            <w:tcW w:type="dxa" w:w="3561"/>
            <w:vAlign w:val="top"/>
          </w:tcPr>
          <w:p>
            <w:pPr>
              <w:spacing w:after="0"/>
            </w:pPr>
            <w:r>
              <w:rPr>
                <w:rFonts w:ascii="Times New Roman" w:hAnsi="Times New Roman"/>
                <w:sz w:val="14"/>
              </w:rPr>
              <w:t>Deut. 2:4–5</w:t>
            </w:r>
          </w:p>
        </w:tc>
        <w:tc>
          <w:tcPr>
            <w:tcW w:type="dxa" w:w="3561"/>
            <w:vAlign w:val="top"/>
          </w:tcPr>
          <w:p>
            <w:pPr>
              <w:spacing w:after="0"/>
            </w:pPr>
            <w:r>
              <w:rPr>
                <w:rFonts w:ascii="Times New Roman" w:hAnsi="Times New Roman"/>
                <w:sz w:val="14"/>
              </w:rPr>
              <w:t>do not contend with Edom</w:t>
            </w:r>
          </w:p>
        </w:tc>
        <w:tc>
          <w:tcPr>
            <w:tcW w:type="dxa" w:w="3561"/>
            <w:vAlign w:val="top"/>
          </w:tcPr>
          <w:p>
            <w:pPr>
              <w:spacing w:after="0"/>
            </w:pPr>
            <w:r>
              <w:rPr>
                <w:rFonts w:ascii="Times New Roman" w:hAnsi="Times New Roman"/>
                <w:sz w:val="14"/>
              </w:rPr>
              <w:t>Explains Israel’s restraint.</w:t>
            </w:r>
          </w:p>
        </w:tc>
      </w:tr>
      <w:tr>
        <w:tc>
          <w:tcPr>
            <w:tcW w:type="dxa" w:w="3561"/>
            <w:vAlign w:val="top"/>
          </w:tcPr>
          <w:p>
            <w:pPr>
              <w:spacing w:after="0"/>
            </w:pPr>
            <w:r>
              <w:rPr>
                <w:rFonts w:ascii="Times New Roman" w:hAnsi="Times New Roman"/>
                <w:sz w:val="14"/>
              </w:rPr>
              <w:t>Num. 20:22</w:t>
            </w:r>
          </w:p>
        </w:tc>
        <w:tc>
          <w:tcPr>
            <w:tcW w:type="dxa" w:w="3561"/>
            <w:vAlign w:val="top"/>
          </w:tcPr>
          <w:p>
            <w:pPr>
              <w:spacing w:after="0"/>
            </w:pPr>
            <w:r>
              <w:rPr>
                <w:rFonts w:ascii="Times New Roman" w:hAnsi="Times New Roman"/>
                <w:sz w:val="14"/>
              </w:rPr>
              <w:t>Mount Hor</w:t>
            </w:r>
          </w:p>
        </w:tc>
        <w:tc>
          <w:tcPr>
            <w:tcW w:type="dxa" w:w="3561"/>
            <w:vAlign w:val="top"/>
          </w:tcPr>
          <w:p>
            <w:pPr>
              <w:spacing w:after="0"/>
            </w:pPr>
            <w:r>
              <w:rPr>
                <w:rFonts w:ascii="Times New Roman" w:hAnsi="Times New Roman"/>
                <w:sz w:val="14"/>
              </w:rPr>
              <w:t>On Edom border; modern identification disputed.</w:t>
            </w:r>
          </w:p>
        </w:tc>
      </w:tr>
      <w:tr>
        <w:tc>
          <w:tcPr>
            <w:tcW w:type="dxa" w:w="3561"/>
            <w:vAlign w:val="top"/>
          </w:tcPr>
          <w:p>
            <w:pPr>
              <w:spacing w:after="0"/>
            </w:pPr>
            <w:r>
              <w:rPr>
                <w:rFonts w:ascii="Times New Roman" w:hAnsi="Times New Roman"/>
                <w:sz w:val="14"/>
              </w:rPr>
              <w:t>Num. 20:24</w:t>
            </w:r>
          </w:p>
        </w:tc>
        <w:tc>
          <w:tcPr>
            <w:tcW w:type="dxa" w:w="3561"/>
            <w:vAlign w:val="top"/>
          </w:tcPr>
          <w:p>
            <w:pPr>
              <w:spacing w:after="0"/>
            </w:pPr>
            <w:r>
              <w:rPr>
                <w:rFonts w:ascii="Times New Roman" w:hAnsi="Times New Roman"/>
                <w:sz w:val="14"/>
              </w:rPr>
              <w:t>gathered to people</w:t>
            </w:r>
          </w:p>
        </w:tc>
        <w:tc>
          <w:tcPr>
            <w:tcW w:type="dxa" w:w="3561"/>
            <w:vAlign w:val="top"/>
          </w:tcPr>
          <w:p>
            <w:pPr>
              <w:spacing w:after="0"/>
            </w:pPr>
            <w:r>
              <w:rPr>
                <w:rFonts w:ascii="Times New Roman" w:hAnsi="Times New Roman"/>
                <w:sz w:val="14"/>
              </w:rPr>
              <w:t>Death idiom; not proof of immortal consciousness.</w:t>
            </w:r>
          </w:p>
        </w:tc>
      </w:tr>
      <w:tr>
        <w:tc>
          <w:tcPr>
            <w:tcW w:type="dxa" w:w="3561"/>
            <w:vAlign w:val="top"/>
          </w:tcPr>
          <w:p>
            <w:pPr>
              <w:spacing w:after="0"/>
            </w:pPr>
            <w:r>
              <w:rPr>
                <w:rFonts w:ascii="Times New Roman" w:hAnsi="Times New Roman"/>
                <w:sz w:val="14"/>
              </w:rPr>
              <w:t>Num. 20:26–28</w:t>
            </w:r>
          </w:p>
        </w:tc>
        <w:tc>
          <w:tcPr>
            <w:tcW w:type="dxa" w:w="3561"/>
            <w:vAlign w:val="top"/>
          </w:tcPr>
          <w:p>
            <w:pPr>
              <w:spacing w:after="0"/>
            </w:pPr>
            <w:r>
              <w:rPr>
                <w:rFonts w:ascii="Times New Roman" w:hAnsi="Times New Roman"/>
                <w:sz w:val="14"/>
              </w:rPr>
              <w:t>garments to Eleazar</w:t>
            </w:r>
          </w:p>
        </w:tc>
        <w:tc>
          <w:tcPr>
            <w:tcW w:type="dxa" w:w="3561"/>
            <w:vAlign w:val="top"/>
          </w:tcPr>
          <w:p>
            <w:pPr>
              <w:spacing w:after="0"/>
            </w:pPr>
            <w:r>
              <w:rPr>
                <w:rFonts w:ascii="Times New Roman" w:hAnsi="Times New Roman"/>
                <w:sz w:val="14"/>
              </w:rPr>
              <w:t>Public transfer of high-priestly office.</w:t>
            </w:r>
          </w:p>
        </w:tc>
      </w:tr>
      <w:tr>
        <w:tc>
          <w:tcPr>
            <w:tcW w:type="dxa" w:w="3561"/>
            <w:vAlign w:val="top"/>
          </w:tcPr>
          <w:p>
            <w:pPr>
              <w:spacing w:after="0"/>
            </w:pPr>
            <w:r>
              <w:rPr>
                <w:rFonts w:ascii="Times New Roman" w:hAnsi="Times New Roman"/>
                <w:sz w:val="14"/>
              </w:rPr>
              <w:t>Num. 33:38–39</w:t>
            </w:r>
          </w:p>
        </w:tc>
        <w:tc>
          <w:tcPr>
            <w:tcW w:type="dxa" w:w="3561"/>
            <w:vAlign w:val="top"/>
          </w:tcPr>
          <w:p>
            <w:pPr>
              <w:spacing w:after="0"/>
            </w:pPr>
            <w:r>
              <w:rPr>
                <w:rFonts w:ascii="Times New Roman" w:hAnsi="Times New Roman"/>
                <w:sz w:val="14"/>
              </w:rPr>
              <w:t>Aaron: 5th month day 1, year 40; age 123</w:t>
            </w:r>
          </w:p>
        </w:tc>
        <w:tc>
          <w:tcPr>
            <w:tcW w:type="dxa" w:w="3561"/>
            <w:vAlign w:val="top"/>
          </w:tcPr>
          <w:p>
            <w:pPr>
              <w:spacing w:after="0"/>
            </w:pPr>
            <w:r>
              <w:rPr>
                <w:rFonts w:ascii="Times New Roman" w:hAnsi="Times New Roman"/>
                <w:sz w:val="14"/>
              </w:rPr>
              <w:t>Explicit cross-reference.</w:t>
            </w:r>
          </w:p>
        </w:tc>
      </w:tr>
      <w:tr>
        <w:tc>
          <w:tcPr>
            <w:tcW w:type="dxa" w:w="3561"/>
            <w:vAlign w:val="top"/>
          </w:tcPr>
          <w:p>
            <w:pPr>
              <w:spacing w:after="0"/>
            </w:pPr>
            <w:r>
              <w:rPr>
                <w:rFonts w:ascii="Times New Roman" w:hAnsi="Times New Roman"/>
                <w:sz w:val="14"/>
              </w:rPr>
              <w:t>Num. 20:29</w:t>
            </w:r>
          </w:p>
        </w:tc>
        <w:tc>
          <w:tcPr>
            <w:tcW w:type="dxa" w:w="3561"/>
            <w:vAlign w:val="top"/>
          </w:tcPr>
          <w:p>
            <w:pPr>
              <w:spacing w:after="0"/>
            </w:pPr>
            <w:r>
              <w:rPr>
                <w:rFonts w:ascii="Times New Roman" w:hAnsi="Times New Roman"/>
                <w:sz w:val="14"/>
              </w:rPr>
              <w:t>30-day mourning</w:t>
            </w:r>
          </w:p>
        </w:tc>
        <w:tc>
          <w:tcPr>
            <w:tcW w:type="dxa" w:w="3561"/>
            <w:vAlign w:val="top"/>
          </w:tcPr>
          <w:p>
            <w:pPr>
              <w:spacing w:after="0"/>
            </w:pPr>
            <w:r>
              <w:rPr>
                <w:rFonts w:ascii="Times New Roman" w:hAnsi="Times New Roman"/>
                <w:sz w:val="14"/>
              </w:rPr>
              <w:t>Stated for Aaron.</w:t>
            </w:r>
          </w:p>
        </w:tc>
      </w:tr>
    </w:tbl>
    <w:p>
      <w:pPr>
        <w:pStyle w:val="Heading1"/>
      </w:pPr>
      <w:r>
        <w:t>RESIDUAL UNCERTAINTIES</w:t>
      </w:r>
    </w:p>
    <w:p>
      <w:pPr/>
      <w:r>
        <w:rPr>
          <w:i w:val="0"/>
        </w:rPr>
        <w:t>The exact modern location of Kadesh and Mount Hor remains debated. The identity of the rod in verse 9 is highly suggestive but not explicitly named. Mansfield’s detailed distinction between tsur and sela‘ as proving successive Christological stages is retained only as typology; Yahweh’s own explanation of Moses and Aaron’s failure in verse 12 remains controlling.</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