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21</w:t>
      </w:r>
    </w:p>
    <w:p>
      <w:pPr>
        <w:pStyle w:val="Subtitle"/>
      </w:pPr>
      <w:r>
        <w:t>VICTORY AT HORMAH • DISCOURAGED BY THE WAY • FIERY SERPENTS • THE LIFTED BRONZE SERPENT • “SPRING UP, O WELL” • SIHON AND OG DEFEATED</w:t>
      </w:r>
    </w:p>
    <w:p>
      <w:pPr/>
      <w:r>
        <w:rPr>
          <w:i/>
        </w:rPr>
        <w:t>H. P. Mansfield Bible notes — checked and arranged in verse-by-verse Expositor style</w:t>
      </w:r>
    </w:p>
    <w:p>
      <w:pPr/>
      <w:r>
        <w:rPr>
          <w:i w:val="0"/>
        </w:rPr>
        <w:t>Source: HPB 03-Lev12-Num36.PDF, pp. 71–72; cross-checked with Mansfield’s Numbers Expositor Chapter 21.</w:t>
      </w:r>
    </w:p>
    <w:p>
      <w:pPr>
        <w:pStyle w:val="Heading1"/>
      </w:pPr>
      <w:r>
        <w:t>CHAPTER OVERVIEW</w:t>
      </w:r>
    </w:p>
    <w:p>
      <w:pPr/>
      <w:r>
        <w:rPr>
          <w:i w:val="0"/>
        </w:rPr>
        <w:t>Numbers 21 turns from the deaths and disappointments of chapter 20 toward renewed progress. Israel wins at Hormah, falls again through impatience and murmuring, receives Yahweh’s appointed remedy in the lifted serpent, then moves north to major victories over Sihon and Og.</w:t>
      </w:r>
    </w:p>
    <w:p>
      <w:pPr/>
      <w:r>
        <w:rPr>
          <w:i w:val="0"/>
        </w:rPr>
        <w:t>The chapter’s movement is theological as well as geographical: defeat comes when Israel resists Yahweh; life and victory come when His appointed word is believed and obeyed.</w:t>
      </w:r>
    </w:p>
    <w:p>
      <w:pPr>
        <w:pStyle w:val="Heading1"/>
      </w:pPr>
      <w:r>
        <w:t>ARAD AND HORMAH — NUMBERS 21:1–3</w:t>
      </w:r>
    </w:p>
    <w:p>
      <w:pPr>
        <w:pStyle w:val="Heading2"/>
      </w:pPr>
      <w:r>
        <w:t>Numbers 21:1 — the Canaanite king attacks</w:t>
      </w:r>
    </w:p>
    <w:p>
      <w:pPr/>
      <w:r>
        <w:rPr>
          <w:i w:val="0"/>
        </w:rPr>
        <w:t>The king of Arad in the Negev hears of Israel’s approach and attacks, taking captives. KJV “by the way of the spies” translates a difficult phrase, derekh ha’atharim; Atharim may be a place-name rather than a reference to spies.</w:t>
      </w:r>
    </w:p>
    <w:p>
      <w:pPr/>
      <w:r>
        <w:rPr>
          <w:i w:val="0"/>
        </w:rPr>
        <w:t>Therefore the route wording should not be treated as certain.</w:t>
      </w:r>
    </w:p>
    <w:p>
      <w:pPr>
        <w:pStyle w:val="Heading2"/>
      </w:pPr>
      <w:r>
        <w:t>Numbers 21:2–3 — cherem and Hormah</w:t>
      </w:r>
    </w:p>
    <w:p>
      <w:pPr/>
      <w:r>
        <w:rPr>
          <w:i w:val="0"/>
        </w:rPr>
        <w:t>Israel vows that if Yahweh delivers the enemy, the cities will be placed under cherem, devoted to destruction. Yahweh hears and grants victory; the place is called Hormah.</w:t>
      </w:r>
    </w:p>
    <w:p>
      <w:pPr/>
      <w:r>
        <w:rPr>
          <w:i w:val="0"/>
        </w:rPr>
        <w:t>The name is related to cherem. The relationship between this event and the earlier defeat “unto Hormah” in Numbers 14:45 involves either the same district/name or a name used anticipatorily in the earlier narrative; the text does not explain the chronology.</w:t>
      </w:r>
    </w:p>
    <w:p>
      <w:pPr>
        <w:pStyle w:val="Heading1"/>
      </w:pPr>
      <w:r>
        <w:t>DISCOURAGED BY THE WAY — NUMBERS 21:4–5</w:t>
      </w:r>
    </w:p>
    <w:p>
      <w:pPr>
        <w:pStyle w:val="Heading2"/>
      </w:pPr>
      <w:r>
        <w:t>Numbers 21:4 — impatient because of the route around Edom</w:t>
      </w:r>
    </w:p>
    <w:p>
      <w:pPr/>
      <w:r>
        <w:rPr>
          <w:i w:val="0"/>
        </w:rPr>
        <w:t>Israel travels from Mount Hor by the way toward the Red Sea to go around Edom. The people’s nephesh is qatsar, shortened/impatient, because of the way.</w:t>
      </w:r>
    </w:p>
    <w:p>
      <w:pPr/>
      <w:r>
        <w:rPr>
          <w:i w:val="0"/>
        </w:rPr>
        <w:t>KJV “discouraged” is good contextual English, but the Hebrew conveys shortened patience or vexation.</w:t>
      </w:r>
    </w:p>
    <w:p>
      <w:pPr>
        <w:pStyle w:val="Heading2"/>
      </w:pPr>
      <w:r>
        <w:t>Numbers 21:5 — manna despised as “light bread”</w:t>
      </w:r>
    </w:p>
    <w:p>
      <w:pPr/>
      <w:r>
        <w:rPr>
          <w:i w:val="0"/>
        </w:rPr>
        <w:t>The people speak against God and Moses, rejecting the wilderness provision as haqqeloqel, contemptible/worthless/light bread.</w:t>
      </w:r>
    </w:p>
    <w:p>
      <w:pPr/>
      <w:r>
        <w:rPr>
          <w:i w:val="0"/>
        </w:rPr>
        <w:t>The complaint is not merely dietary boredom; it is renewed repudiation of Yahweh’s sustaining gift.</w:t>
      </w:r>
    </w:p>
    <w:p>
      <w:pPr>
        <w:pStyle w:val="Heading1"/>
      </w:pPr>
      <w:r>
        <w:t>THE FIERY SERPENTS — NUMBERS 21:6–9</w:t>
      </w:r>
    </w:p>
    <w:p>
      <w:pPr>
        <w:pStyle w:val="Heading2"/>
      </w:pPr>
      <w:r>
        <w:t>Numbers 21:6 — seraph serpents</w:t>
      </w:r>
    </w:p>
    <w:p>
      <w:pPr/>
      <w:r>
        <w:rPr>
          <w:i w:val="0"/>
        </w:rPr>
        <w:t>Yahweh sends hanechashim haseraphim, burning/fiery serpents, whose bites kill many Israelites. “Fiery” probably relates to burning effect or descriptive character.</w:t>
      </w:r>
    </w:p>
    <w:p>
      <w:pPr/>
      <w:r>
        <w:rPr>
          <w:i w:val="0"/>
        </w:rPr>
        <w:t>Mansfield cites the saw-scaled/carpet viper as a likely species, but the biblical text does not identify the species and that proposal should remain conjectural.</w:t>
      </w:r>
    </w:p>
    <w:p>
      <w:pPr>
        <w:pStyle w:val="Heading2"/>
      </w:pPr>
      <w:r>
        <w:t>Numbers 21:7 — confession and intercession</w:t>
      </w:r>
    </w:p>
    <w:p>
      <w:pPr/>
      <w:r>
        <w:rPr>
          <w:i w:val="0"/>
        </w:rPr>
        <w:t>The people confess, “We have sinned, for we have spoken against Yahweh, and against thee.” Moses intercedes.</w:t>
      </w:r>
    </w:p>
    <w:p>
      <w:pPr>
        <w:pStyle w:val="Heading2"/>
      </w:pPr>
      <w:r>
        <w:t>Numbers 21:8–9 — a bronze/copper serpent lifted on a standard</w:t>
      </w:r>
    </w:p>
    <w:p>
      <w:pPr/>
      <w:r>
        <w:rPr>
          <w:i w:val="0"/>
        </w:rPr>
        <w:t>Yahweh commands Moses to make a saraph and set it upon a nes, standard/pole. Moses makes a nechash nechosheth, a serpent of copper/bronze. KJV “brass” is older broad terminology; Hebrew nechosheth refers to copper/bronze.</w:t>
      </w:r>
    </w:p>
    <w:p>
      <w:pPr/>
      <w:r>
        <w:rPr>
          <w:i w:val="0"/>
        </w:rPr>
        <w:t>Whoever is bitten and deliberately looks toward the lifted serpent lives. The material has no autonomous healing power; the act works because Yahweh appoints the sign and the sufferer responds in believing obedience.</w:t>
      </w:r>
    </w:p>
    <w:p>
      <w:pPr>
        <w:pStyle w:val="Heading2"/>
      </w:pPr>
      <w:r>
        <w:t>John 3:14–16 — the inspired Christological application</w:t>
      </w:r>
    </w:p>
    <w:p>
      <w:pPr/>
      <w:r>
        <w:rPr>
          <w:i w:val="0"/>
        </w:rPr>
        <w:t>Jesus explicitly says, “as Moses lifted up the serpent in the wilderness, even so must the Son of man be lifted up.” This direct New Testament interpretation gives the controlling typology.</w:t>
      </w:r>
    </w:p>
    <w:p>
      <w:pPr/>
      <w:r>
        <w:rPr>
          <w:i w:val="0"/>
        </w:rPr>
        <w:t>The likeness is not that Christ was sinful or venomous. Romans 8:3 supplies the careful language: he came “in the likeness of sinful flesh” and condemned sin in the flesh while remaining personally sinless.</w:t>
      </w:r>
    </w:p>
    <w:p>
      <w:pPr>
        <w:pStyle w:val="Heading2"/>
      </w:pPr>
      <w:r>
        <w:t>2 Kings 18:4 — the sign later became Nehushtan</w:t>
      </w:r>
    </w:p>
    <w:p>
      <w:pPr/>
      <w:r>
        <w:rPr>
          <w:i w:val="0"/>
        </w:rPr>
        <w:t>The bronze serpent was preserved until Hezekiah destroyed it because Israel burned incense to it; it was called Nehushtan, a contemptuous designation associated with a bronze thing.</w:t>
      </w:r>
    </w:p>
    <w:p>
      <w:pPr/>
      <w:r>
        <w:rPr>
          <w:i w:val="0"/>
        </w:rPr>
        <w:t>The later idolatry confirms that power never resided inherently in the object.</w:t>
      </w:r>
    </w:p>
    <w:p>
      <w:pPr>
        <w:pStyle w:val="Heading1"/>
      </w:pPr>
      <w:r>
        <w:t>ON THE MARCH AND THE WELL — NUMBERS 21:10–20</w:t>
      </w:r>
    </w:p>
    <w:p>
      <w:pPr>
        <w:pStyle w:val="Heading2"/>
      </w:pPr>
      <w:r>
        <w:t>Numbers 21:10–13 — Oboth, Ije-abarim, Zared and Arnon</w:t>
      </w:r>
    </w:p>
    <w:p>
      <w:pPr/>
      <w:r>
        <w:rPr>
          <w:i w:val="0"/>
        </w:rPr>
        <w:t>The itinerary moves along the eastern side of Edom/Moab toward the Arnon. Exact identification of every campsite remains uncertain and should not be mapped with false precision.</w:t>
      </w:r>
    </w:p>
    <w:p>
      <w:pPr>
        <w:pStyle w:val="Heading2"/>
      </w:pPr>
      <w:r>
        <w:t>Numbers 21:14–15 — Book of the Wars of Yahweh</w:t>
      </w:r>
    </w:p>
    <w:p>
      <w:pPr/>
      <w:r>
        <w:rPr>
          <w:i w:val="0"/>
        </w:rPr>
        <w:t>The narrator quotes from “the book of the wars of Yahweh.” The Hebrew fragment beginning waheb besuphah is exceptionally difficult. KJV’s “What he did in the Red sea” is one ancient interpretation; many modern readings treat Waheb and Suphah as place-names.</w:t>
      </w:r>
    </w:p>
    <w:p>
      <w:pPr/>
      <w:r>
        <w:rPr>
          <w:i w:val="0"/>
        </w:rPr>
        <w:t>The uncertainty should be retained rather than choosing Mansfield’s preferred reconstruction as certain.</w:t>
      </w:r>
    </w:p>
    <w:p>
      <w:pPr>
        <w:pStyle w:val="Heading2"/>
      </w:pPr>
      <w:r>
        <w:t>Numbers 21:16–18 — Beer and the song of the well</w:t>
      </w:r>
    </w:p>
    <w:p>
      <w:pPr/>
      <w:r>
        <w:rPr>
          <w:i w:val="0"/>
        </w:rPr>
        <w:t>At Beer Yahweh promises water, and Israel sings, “Spring up, O well; sing ye unto it.” Princes and nobles dig/search out the well.</w:t>
      </w:r>
    </w:p>
    <w:p>
      <w:pPr/>
      <w:r>
        <w:rPr>
          <w:i w:val="0"/>
        </w:rPr>
        <w:t>The poetic phrase translated “by the direction of the lawgiver, with their staves” is difficult; staff/authority imagery is clear, but the precise syntax is uncertain.</w:t>
      </w:r>
    </w:p>
    <w:p>
      <w:pPr>
        <w:pStyle w:val="Heading2"/>
      </w:pPr>
      <w:r>
        <w:t>Numbers 21:19–20 — poetic itinerary</w:t>
      </w:r>
    </w:p>
    <w:p>
      <w:pPr/>
      <w:r>
        <w:rPr>
          <w:i w:val="0"/>
        </w:rPr>
        <w:t>Mattanah, Nahaliel and Bamoth may be place-names, though Mansfield notes the possibility of poetic wordplay. The chapter presents them as part of the onward itinerary/song.</w:t>
      </w:r>
    </w:p>
    <w:p>
      <w:pPr>
        <w:pStyle w:val="Heading1"/>
      </w:pPr>
      <w:r>
        <w:t>SIHON AND OG — NUMBERS 21:21–35</w:t>
      </w:r>
    </w:p>
    <w:p>
      <w:pPr>
        <w:pStyle w:val="Heading2"/>
      </w:pPr>
      <w:r>
        <w:t>Numbers 21:21–23 — peaceful request refused</w:t>
      </w:r>
    </w:p>
    <w:p>
      <w:pPr/>
      <w:r>
        <w:rPr>
          <w:i w:val="0"/>
        </w:rPr>
        <w:t>Israel asks Sihon king of the Amorites for passage by the king’s highway without taking field, vineyard or well water. Sihon refuses and attacks at Jahaz.</w:t>
      </w:r>
    </w:p>
    <w:p>
      <w:pPr>
        <w:pStyle w:val="Heading2"/>
      </w:pPr>
      <w:r>
        <w:t>Numbers 21:24–26 — Amorite land becomes Israelite</w:t>
      </w:r>
    </w:p>
    <w:p>
      <w:pPr/>
      <w:r>
        <w:rPr>
          <w:i w:val="0"/>
        </w:rPr>
        <w:t>Israel defeats Sihon and possesses territory from the Arnon to the Jabbok, stopping at the Ammonite boundary. Heshbon had been Sihon’s capital after he earlier took territory from Moab.</w:t>
      </w:r>
    </w:p>
    <w:p>
      <w:pPr/>
      <w:r>
        <w:rPr>
          <w:i w:val="0"/>
        </w:rPr>
        <w:t>The land is taken from the attacking Amorite king, not from Moab in defiance of Yahweh’s prohibition.</w:t>
      </w:r>
    </w:p>
    <w:p>
      <w:pPr>
        <w:pStyle w:val="Heading2"/>
      </w:pPr>
      <w:r>
        <w:t>Numbers 21:27–30 — the mashal of Heshbon</w:t>
      </w:r>
    </w:p>
    <w:p>
      <w:pPr/>
      <w:r>
        <w:rPr>
          <w:i w:val="0"/>
        </w:rPr>
        <w:t>The poem beginning “Come into Heshbon” is introduced as a mashal, proverb/taunt-song. It celebrates Sihon’s former conquest of Moab and now functions ironically after Sihon himself is defeated.</w:t>
      </w:r>
    </w:p>
    <w:p>
      <w:pPr>
        <w:pStyle w:val="Heading2"/>
      </w:pPr>
      <w:r>
        <w:t>Numbers 21:31–35 — Og of Bashan</w:t>
      </w:r>
    </w:p>
    <w:p>
      <w:pPr/>
      <w:r>
        <w:rPr>
          <w:i w:val="0"/>
        </w:rPr>
        <w:t>Israel turns toward Bashan. Yahweh tells Moses not to fear Og and promises king, people and land into Israel’s hand. Israel defeats Og and takes his land.</w:t>
      </w:r>
    </w:p>
    <w:p>
      <w:pPr/>
      <w:r>
        <w:rPr>
          <w:i w:val="0"/>
        </w:rPr>
        <w:t>Psalm 135:11 and 136:19–20 later remember Sihon and Og together as emblematic victories granted by Yahweh.</w:t>
      </w:r>
    </w:p>
    <w:p>
      <w:pPr>
        <w:pStyle w:val="Heading1"/>
      </w:pPr>
      <w:r>
        <w:t>PRINCIPAL THEMES</w:t>
      </w:r>
    </w:p>
    <w:p>
      <w:pPr>
        <w:ind w:left="259" w:hanging="202"/>
      </w:pPr>
      <w:r>
        <w:rPr>
          <w:b/>
        </w:rPr>
        <w:t xml:space="preserve">• </w:t>
      </w:r>
      <w:r>
        <w:t>Qatsar in verse 4 conveys shortened patience/impatience as well as discouragement.</w:t>
      </w:r>
    </w:p>
    <w:p>
      <w:pPr>
        <w:ind w:left="259" w:hanging="202"/>
      </w:pPr>
      <w:r>
        <w:rPr>
          <w:b/>
        </w:rPr>
        <w:t xml:space="preserve">• </w:t>
      </w:r>
      <w:r>
        <w:t>The fiery-serpent species is not identified by Scripture.</w:t>
      </w:r>
    </w:p>
    <w:p>
      <w:pPr>
        <w:ind w:left="259" w:hanging="202"/>
      </w:pPr>
      <w:r>
        <w:rPr>
          <w:b/>
        </w:rPr>
        <w:t xml:space="preserve">• </w:t>
      </w:r>
      <w:r>
        <w:t>KJV “brass” in verse 9 corresponds to copper/bronze nechosheth.</w:t>
      </w:r>
    </w:p>
    <w:p>
      <w:pPr>
        <w:ind w:left="259" w:hanging="202"/>
      </w:pPr>
      <w:r>
        <w:rPr>
          <w:b/>
        </w:rPr>
        <w:t xml:space="preserve">• </w:t>
      </w:r>
      <w:r>
        <w:t>John 3:14–16 explicitly controls the serpent’s Christological typology.</w:t>
      </w:r>
    </w:p>
    <w:p>
      <w:pPr>
        <w:ind w:left="259" w:hanging="202"/>
      </w:pPr>
      <w:r>
        <w:rPr>
          <w:b/>
        </w:rPr>
        <w:t xml:space="preserve">• </w:t>
      </w:r>
      <w:r>
        <w:t>The lifted-serpent type must preserve Christ’s personal sinlessness.</w:t>
      </w:r>
    </w:p>
    <w:p>
      <w:pPr>
        <w:ind w:left="259" w:hanging="202"/>
      </w:pPr>
      <w:r>
        <w:rPr>
          <w:b/>
        </w:rPr>
        <w:t xml:space="preserve">• </w:t>
      </w:r>
      <w:r>
        <w:t>The Book of the Wars quotation is textually difficult; Waheb/Suphah may be place-names.</w:t>
      </w:r>
    </w:p>
    <w:p>
      <w:pPr>
        <w:ind w:left="259" w:hanging="202"/>
      </w:pPr>
      <w:r>
        <w:rPr>
          <w:b/>
        </w:rPr>
        <w:t xml:space="preserve">• </w:t>
      </w:r>
      <w:r>
        <w:t>The well-song contains difficult poetic syntax and should not be over-translated.</w:t>
      </w:r>
    </w:p>
    <w:p>
      <w:pPr>
        <w:ind w:left="259" w:hanging="202"/>
      </w:pPr>
      <w:r>
        <w:rPr>
          <w:b/>
        </w:rPr>
        <w:t xml:space="preserve">• </w:t>
      </w:r>
      <w:r>
        <w:t>Israel’s victories over Sihon and Og are victories under Yahweh’s word, contrasting with Numbers 14 presumption.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21:1</w:t>
            </w:r>
          </w:p>
        </w:tc>
        <w:tc>
          <w:tcPr>
            <w:tcW w:type="dxa" w:w="3561"/>
            <w:vAlign w:val="top"/>
          </w:tcPr>
          <w:p>
            <w:pPr>
              <w:spacing w:after="0" w:line="228" w:lineRule="auto"/>
            </w:pPr>
            <w:r>
              <w:rPr>
                <w:rFonts w:ascii="Times New Roman" w:hAnsi="Times New Roman"/>
                <w:sz w:val="13"/>
              </w:rPr>
              <w:t>derekh ha’atharim</w:t>
            </w:r>
          </w:p>
        </w:tc>
        <w:tc>
          <w:tcPr>
            <w:tcW w:type="dxa" w:w="3561"/>
            <w:vAlign w:val="top"/>
          </w:tcPr>
          <w:p>
            <w:pPr>
              <w:spacing w:after="0" w:line="228" w:lineRule="auto"/>
            </w:pPr>
            <w:r>
              <w:rPr>
                <w:rFonts w:ascii="Times New Roman" w:hAnsi="Times New Roman"/>
                <w:sz w:val="13"/>
              </w:rPr>
              <w:t>Difficult: “way of the spies” or Atharim place-name.</w:t>
            </w:r>
          </w:p>
        </w:tc>
      </w:tr>
      <w:tr>
        <w:tc>
          <w:tcPr>
            <w:tcW w:type="dxa" w:w="3561"/>
            <w:vAlign w:val="top"/>
          </w:tcPr>
          <w:p>
            <w:pPr>
              <w:spacing w:after="0" w:line="228" w:lineRule="auto"/>
            </w:pPr>
            <w:r>
              <w:rPr>
                <w:rFonts w:ascii="Times New Roman" w:hAnsi="Times New Roman"/>
                <w:sz w:val="13"/>
              </w:rPr>
              <w:t>Num. 21:2–3</w:t>
            </w:r>
          </w:p>
        </w:tc>
        <w:tc>
          <w:tcPr>
            <w:tcW w:type="dxa" w:w="3561"/>
            <w:vAlign w:val="top"/>
          </w:tcPr>
          <w:p>
            <w:pPr>
              <w:spacing w:after="0" w:line="228" w:lineRule="auto"/>
            </w:pPr>
            <w:r>
              <w:rPr>
                <w:rFonts w:ascii="Times New Roman" w:hAnsi="Times New Roman"/>
                <w:sz w:val="13"/>
              </w:rPr>
              <w:t>cherem / Hormah</w:t>
            </w:r>
          </w:p>
        </w:tc>
        <w:tc>
          <w:tcPr>
            <w:tcW w:type="dxa" w:w="3561"/>
            <w:vAlign w:val="top"/>
          </w:tcPr>
          <w:p>
            <w:pPr>
              <w:spacing w:after="0" w:line="228" w:lineRule="auto"/>
            </w:pPr>
            <w:r>
              <w:rPr>
                <w:rFonts w:ascii="Times New Roman" w:hAnsi="Times New Roman"/>
                <w:sz w:val="13"/>
              </w:rPr>
              <w:t>Devotion to destruction; place-name related to root.</w:t>
            </w:r>
          </w:p>
        </w:tc>
      </w:tr>
      <w:tr>
        <w:tc>
          <w:tcPr>
            <w:tcW w:type="dxa" w:w="3561"/>
            <w:vAlign w:val="top"/>
          </w:tcPr>
          <w:p>
            <w:pPr>
              <w:spacing w:after="0" w:line="228" w:lineRule="auto"/>
            </w:pPr>
            <w:r>
              <w:rPr>
                <w:rFonts w:ascii="Times New Roman" w:hAnsi="Times New Roman"/>
                <w:sz w:val="13"/>
              </w:rPr>
              <w:t>Num. 21:4</w:t>
            </w:r>
          </w:p>
        </w:tc>
        <w:tc>
          <w:tcPr>
            <w:tcW w:type="dxa" w:w="3561"/>
            <w:vAlign w:val="top"/>
          </w:tcPr>
          <w:p>
            <w:pPr>
              <w:spacing w:after="0" w:line="228" w:lineRule="auto"/>
            </w:pPr>
            <w:r>
              <w:rPr>
                <w:rFonts w:ascii="Times New Roman" w:hAnsi="Times New Roman"/>
                <w:sz w:val="13"/>
              </w:rPr>
              <w:t>qatsar nephesh</w:t>
            </w:r>
          </w:p>
        </w:tc>
        <w:tc>
          <w:tcPr>
            <w:tcW w:type="dxa" w:w="3561"/>
            <w:vAlign w:val="top"/>
          </w:tcPr>
          <w:p>
            <w:pPr>
              <w:spacing w:after="0" w:line="228" w:lineRule="auto"/>
            </w:pPr>
            <w:r>
              <w:rPr>
                <w:rFonts w:ascii="Times New Roman" w:hAnsi="Times New Roman"/>
                <w:sz w:val="13"/>
              </w:rPr>
              <w:t>Shortened/impatient in spirit/life.</w:t>
            </w:r>
          </w:p>
        </w:tc>
      </w:tr>
      <w:tr>
        <w:tc>
          <w:tcPr>
            <w:tcW w:type="dxa" w:w="3561"/>
            <w:vAlign w:val="top"/>
          </w:tcPr>
          <w:p>
            <w:pPr>
              <w:spacing w:after="0" w:line="228" w:lineRule="auto"/>
            </w:pPr>
            <w:r>
              <w:rPr>
                <w:rFonts w:ascii="Times New Roman" w:hAnsi="Times New Roman"/>
                <w:sz w:val="13"/>
              </w:rPr>
              <w:t>Num. 21:5</w:t>
            </w:r>
          </w:p>
        </w:tc>
        <w:tc>
          <w:tcPr>
            <w:tcW w:type="dxa" w:w="3561"/>
            <w:vAlign w:val="top"/>
          </w:tcPr>
          <w:p>
            <w:pPr>
              <w:spacing w:after="0" w:line="228" w:lineRule="auto"/>
            </w:pPr>
            <w:r>
              <w:rPr>
                <w:rFonts w:ascii="Times New Roman" w:hAnsi="Times New Roman"/>
                <w:sz w:val="13"/>
              </w:rPr>
              <w:t>haqqeloqel</w:t>
            </w:r>
          </w:p>
        </w:tc>
        <w:tc>
          <w:tcPr>
            <w:tcW w:type="dxa" w:w="3561"/>
            <w:vAlign w:val="top"/>
          </w:tcPr>
          <w:p>
            <w:pPr>
              <w:spacing w:after="0" w:line="228" w:lineRule="auto"/>
            </w:pPr>
            <w:r>
              <w:rPr>
                <w:rFonts w:ascii="Times New Roman" w:hAnsi="Times New Roman"/>
                <w:sz w:val="13"/>
              </w:rPr>
              <w:t>Contemptible/light/worthless bread.</w:t>
            </w:r>
          </w:p>
        </w:tc>
      </w:tr>
      <w:tr>
        <w:tc>
          <w:tcPr>
            <w:tcW w:type="dxa" w:w="3561"/>
            <w:vAlign w:val="top"/>
          </w:tcPr>
          <w:p>
            <w:pPr>
              <w:spacing w:after="0" w:line="228" w:lineRule="auto"/>
            </w:pPr>
            <w:r>
              <w:rPr>
                <w:rFonts w:ascii="Times New Roman" w:hAnsi="Times New Roman"/>
                <w:sz w:val="13"/>
              </w:rPr>
              <w:t>Num. 21:6</w:t>
            </w:r>
          </w:p>
        </w:tc>
        <w:tc>
          <w:tcPr>
            <w:tcW w:type="dxa" w:w="3561"/>
            <w:vAlign w:val="top"/>
          </w:tcPr>
          <w:p>
            <w:pPr>
              <w:spacing w:after="0" w:line="228" w:lineRule="auto"/>
            </w:pPr>
            <w:r>
              <w:rPr>
                <w:rFonts w:ascii="Times New Roman" w:hAnsi="Times New Roman"/>
                <w:sz w:val="13"/>
              </w:rPr>
              <w:t>seraph serpents</w:t>
            </w:r>
          </w:p>
        </w:tc>
        <w:tc>
          <w:tcPr>
            <w:tcW w:type="dxa" w:w="3561"/>
            <w:vAlign w:val="top"/>
          </w:tcPr>
          <w:p>
            <w:pPr>
              <w:spacing w:after="0" w:line="228" w:lineRule="auto"/>
            </w:pPr>
            <w:r>
              <w:rPr>
                <w:rFonts w:ascii="Times New Roman" w:hAnsi="Times New Roman"/>
                <w:sz w:val="13"/>
              </w:rPr>
              <w:t>Burning/fiery serpents; species not identified.</w:t>
            </w:r>
          </w:p>
        </w:tc>
      </w:tr>
      <w:tr>
        <w:tc>
          <w:tcPr>
            <w:tcW w:type="dxa" w:w="3561"/>
            <w:vAlign w:val="top"/>
          </w:tcPr>
          <w:p>
            <w:pPr>
              <w:spacing w:after="0" w:line="228" w:lineRule="auto"/>
            </w:pPr>
            <w:r>
              <w:rPr>
                <w:rFonts w:ascii="Times New Roman" w:hAnsi="Times New Roman"/>
                <w:sz w:val="13"/>
              </w:rPr>
              <w:t>Num. 21:8</w:t>
            </w:r>
          </w:p>
        </w:tc>
        <w:tc>
          <w:tcPr>
            <w:tcW w:type="dxa" w:w="3561"/>
            <w:vAlign w:val="top"/>
          </w:tcPr>
          <w:p>
            <w:pPr>
              <w:spacing w:after="0" w:line="228" w:lineRule="auto"/>
            </w:pPr>
            <w:r>
              <w:rPr>
                <w:rFonts w:ascii="Times New Roman" w:hAnsi="Times New Roman"/>
                <w:sz w:val="13"/>
              </w:rPr>
              <w:t>nes</w:t>
            </w:r>
          </w:p>
        </w:tc>
        <w:tc>
          <w:tcPr>
            <w:tcW w:type="dxa" w:w="3561"/>
            <w:vAlign w:val="top"/>
          </w:tcPr>
          <w:p>
            <w:pPr>
              <w:spacing w:after="0" w:line="228" w:lineRule="auto"/>
            </w:pPr>
            <w:r>
              <w:rPr>
                <w:rFonts w:ascii="Times New Roman" w:hAnsi="Times New Roman"/>
                <w:sz w:val="13"/>
              </w:rPr>
              <w:t>Standard/pole/sign.</w:t>
            </w:r>
          </w:p>
        </w:tc>
      </w:tr>
      <w:tr>
        <w:tc>
          <w:tcPr>
            <w:tcW w:type="dxa" w:w="3561"/>
            <w:vAlign w:val="top"/>
          </w:tcPr>
          <w:p>
            <w:pPr>
              <w:spacing w:after="0" w:line="228" w:lineRule="auto"/>
            </w:pPr>
            <w:r>
              <w:rPr>
                <w:rFonts w:ascii="Times New Roman" w:hAnsi="Times New Roman"/>
                <w:sz w:val="13"/>
              </w:rPr>
              <w:t>Num. 21:9</w:t>
            </w:r>
          </w:p>
        </w:tc>
        <w:tc>
          <w:tcPr>
            <w:tcW w:type="dxa" w:w="3561"/>
            <w:vAlign w:val="top"/>
          </w:tcPr>
          <w:p>
            <w:pPr>
              <w:spacing w:after="0" w:line="228" w:lineRule="auto"/>
            </w:pPr>
            <w:r>
              <w:rPr>
                <w:rFonts w:ascii="Times New Roman" w:hAnsi="Times New Roman"/>
                <w:sz w:val="13"/>
              </w:rPr>
              <w:t>nechash nechosheth</w:t>
            </w:r>
          </w:p>
        </w:tc>
        <w:tc>
          <w:tcPr>
            <w:tcW w:type="dxa" w:w="3561"/>
            <w:vAlign w:val="top"/>
          </w:tcPr>
          <w:p>
            <w:pPr>
              <w:spacing w:after="0" w:line="228" w:lineRule="auto"/>
            </w:pPr>
            <w:r>
              <w:rPr>
                <w:rFonts w:ascii="Times New Roman" w:hAnsi="Times New Roman"/>
                <w:sz w:val="13"/>
              </w:rPr>
              <w:t>Copper/bronze serpent; KJV “brass.”</w:t>
            </w:r>
          </w:p>
        </w:tc>
      </w:tr>
      <w:tr>
        <w:tc>
          <w:tcPr>
            <w:tcW w:type="dxa" w:w="3561"/>
            <w:vAlign w:val="top"/>
          </w:tcPr>
          <w:p>
            <w:pPr>
              <w:spacing w:after="0" w:line="228" w:lineRule="auto"/>
            </w:pPr>
            <w:r>
              <w:rPr>
                <w:rFonts w:ascii="Times New Roman" w:hAnsi="Times New Roman"/>
                <w:sz w:val="13"/>
              </w:rPr>
              <w:t>John 3:14–16</w:t>
            </w:r>
          </w:p>
        </w:tc>
        <w:tc>
          <w:tcPr>
            <w:tcW w:type="dxa" w:w="3561"/>
            <w:vAlign w:val="top"/>
          </w:tcPr>
          <w:p>
            <w:pPr>
              <w:spacing w:after="0" w:line="228" w:lineRule="auto"/>
            </w:pPr>
            <w:r>
              <w:rPr>
                <w:rFonts w:ascii="Times New Roman" w:hAnsi="Times New Roman"/>
                <w:sz w:val="13"/>
              </w:rPr>
              <w:t>lifted serpent → Son of man lifted</w:t>
            </w:r>
          </w:p>
        </w:tc>
        <w:tc>
          <w:tcPr>
            <w:tcW w:type="dxa" w:w="3561"/>
            <w:vAlign w:val="top"/>
          </w:tcPr>
          <w:p>
            <w:pPr>
              <w:spacing w:after="0" w:line="228" w:lineRule="auto"/>
            </w:pPr>
            <w:r>
              <w:rPr>
                <w:rFonts w:ascii="Times New Roman" w:hAnsi="Times New Roman"/>
                <w:sz w:val="13"/>
              </w:rPr>
              <w:t>Direct NT typological application.</w:t>
            </w:r>
          </w:p>
        </w:tc>
      </w:tr>
      <w:tr>
        <w:tc>
          <w:tcPr>
            <w:tcW w:type="dxa" w:w="3561"/>
            <w:vAlign w:val="top"/>
          </w:tcPr>
          <w:p>
            <w:pPr>
              <w:spacing w:after="0" w:line="228" w:lineRule="auto"/>
            </w:pPr>
            <w:r>
              <w:rPr>
                <w:rFonts w:ascii="Times New Roman" w:hAnsi="Times New Roman"/>
                <w:sz w:val="13"/>
              </w:rPr>
              <w:t>Rom. 8:3</w:t>
            </w:r>
          </w:p>
        </w:tc>
        <w:tc>
          <w:tcPr>
            <w:tcW w:type="dxa" w:w="3561"/>
            <w:vAlign w:val="top"/>
          </w:tcPr>
          <w:p>
            <w:pPr>
              <w:spacing w:after="0" w:line="228" w:lineRule="auto"/>
            </w:pPr>
            <w:r>
              <w:rPr>
                <w:rFonts w:ascii="Times New Roman" w:hAnsi="Times New Roman"/>
                <w:sz w:val="13"/>
              </w:rPr>
              <w:t>likeness of sinful flesh</w:t>
            </w:r>
          </w:p>
        </w:tc>
        <w:tc>
          <w:tcPr>
            <w:tcW w:type="dxa" w:w="3561"/>
            <w:vAlign w:val="top"/>
          </w:tcPr>
          <w:p>
            <w:pPr>
              <w:spacing w:after="0" w:line="228" w:lineRule="auto"/>
            </w:pPr>
            <w:r>
              <w:rPr>
                <w:rFonts w:ascii="Times New Roman" w:hAnsi="Times New Roman"/>
                <w:sz w:val="13"/>
              </w:rPr>
              <w:t>Controls typology without making Christ sinful.</w:t>
            </w:r>
          </w:p>
        </w:tc>
      </w:tr>
      <w:tr>
        <w:tc>
          <w:tcPr>
            <w:tcW w:type="dxa" w:w="3561"/>
            <w:vAlign w:val="top"/>
          </w:tcPr>
          <w:p>
            <w:pPr>
              <w:spacing w:after="0" w:line="228" w:lineRule="auto"/>
            </w:pPr>
            <w:r>
              <w:rPr>
                <w:rFonts w:ascii="Times New Roman" w:hAnsi="Times New Roman"/>
                <w:sz w:val="13"/>
              </w:rPr>
              <w:t>2 Kings 18:4</w:t>
            </w:r>
          </w:p>
        </w:tc>
        <w:tc>
          <w:tcPr>
            <w:tcW w:type="dxa" w:w="3561"/>
            <w:vAlign w:val="top"/>
          </w:tcPr>
          <w:p>
            <w:pPr>
              <w:spacing w:after="0" w:line="228" w:lineRule="auto"/>
            </w:pPr>
            <w:r>
              <w:rPr>
                <w:rFonts w:ascii="Times New Roman" w:hAnsi="Times New Roman"/>
                <w:sz w:val="13"/>
              </w:rPr>
              <w:t>Nehushtan</w:t>
            </w:r>
          </w:p>
        </w:tc>
        <w:tc>
          <w:tcPr>
            <w:tcW w:type="dxa" w:w="3561"/>
            <w:vAlign w:val="top"/>
          </w:tcPr>
          <w:p>
            <w:pPr>
              <w:spacing w:after="0" w:line="228" w:lineRule="auto"/>
            </w:pPr>
            <w:r>
              <w:rPr>
                <w:rFonts w:ascii="Times New Roman" w:hAnsi="Times New Roman"/>
                <w:sz w:val="13"/>
              </w:rPr>
              <w:t>Later destruction of idolised bronze serpent.</w:t>
            </w:r>
          </w:p>
        </w:tc>
      </w:tr>
      <w:tr>
        <w:tc>
          <w:tcPr>
            <w:tcW w:type="dxa" w:w="3561"/>
            <w:vAlign w:val="top"/>
          </w:tcPr>
          <w:p>
            <w:pPr>
              <w:spacing w:after="0" w:line="228" w:lineRule="auto"/>
            </w:pPr>
            <w:r>
              <w:rPr>
                <w:rFonts w:ascii="Times New Roman" w:hAnsi="Times New Roman"/>
                <w:sz w:val="13"/>
              </w:rPr>
              <w:t>Num. 21:14</w:t>
            </w:r>
          </w:p>
        </w:tc>
        <w:tc>
          <w:tcPr>
            <w:tcW w:type="dxa" w:w="3561"/>
            <w:vAlign w:val="top"/>
          </w:tcPr>
          <w:p>
            <w:pPr>
              <w:spacing w:after="0" w:line="228" w:lineRule="auto"/>
            </w:pPr>
            <w:r>
              <w:rPr>
                <w:rFonts w:ascii="Times New Roman" w:hAnsi="Times New Roman"/>
                <w:sz w:val="13"/>
              </w:rPr>
              <w:t>Book of Wars fragment</w:t>
            </w:r>
          </w:p>
        </w:tc>
        <w:tc>
          <w:tcPr>
            <w:tcW w:type="dxa" w:w="3561"/>
            <w:vAlign w:val="top"/>
          </w:tcPr>
          <w:p>
            <w:pPr>
              <w:spacing w:after="0" w:line="228" w:lineRule="auto"/>
            </w:pPr>
            <w:r>
              <w:rPr>
                <w:rFonts w:ascii="Times New Roman" w:hAnsi="Times New Roman"/>
                <w:sz w:val="13"/>
              </w:rPr>
              <w:t>Waheb/Suphah reading highly uncertain.</w:t>
            </w:r>
          </w:p>
        </w:tc>
      </w:tr>
      <w:tr>
        <w:tc>
          <w:tcPr>
            <w:tcW w:type="dxa" w:w="3561"/>
            <w:vAlign w:val="top"/>
          </w:tcPr>
          <w:p>
            <w:pPr>
              <w:spacing w:after="0" w:line="228" w:lineRule="auto"/>
            </w:pPr>
            <w:r>
              <w:rPr>
                <w:rFonts w:ascii="Times New Roman" w:hAnsi="Times New Roman"/>
                <w:sz w:val="13"/>
              </w:rPr>
              <w:t>Num. 21:17</w:t>
            </w:r>
          </w:p>
        </w:tc>
        <w:tc>
          <w:tcPr>
            <w:tcW w:type="dxa" w:w="3561"/>
            <w:vAlign w:val="top"/>
          </w:tcPr>
          <w:p>
            <w:pPr>
              <w:spacing w:after="0" w:line="228" w:lineRule="auto"/>
            </w:pPr>
            <w:r>
              <w:rPr>
                <w:rFonts w:ascii="Times New Roman" w:hAnsi="Times New Roman"/>
                <w:sz w:val="13"/>
              </w:rPr>
              <w:t>well song</w:t>
            </w:r>
          </w:p>
        </w:tc>
        <w:tc>
          <w:tcPr>
            <w:tcW w:type="dxa" w:w="3561"/>
            <w:vAlign w:val="top"/>
          </w:tcPr>
          <w:p>
            <w:pPr>
              <w:spacing w:after="0" w:line="228" w:lineRule="auto"/>
            </w:pPr>
            <w:r>
              <w:rPr>
                <w:rFonts w:ascii="Times New Roman" w:hAnsi="Times New Roman"/>
                <w:sz w:val="13"/>
              </w:rPr>
              <w:t>“Spring up, O well.”</w:t>
            </w:r>
          </w:p>
        </w:tc>
      </w:tr>
      <w:tr>
        <w:tc>
          <w:tcPr>
            <w:tcW w:type="dxa" w:w="3561"/>
            <w:vAlign w:val="top"/>
          </w:tcPr>
          <w:p>
            <w:pPr>
              <w:spacing w:after="0" w:line="228" w:lineRule="auto"/>
            </w:pPr>
            <w:r>
              <w:rPr>
                <w:rFonts w:ascii="Times New Roman" w:hAnsi="Times New Roman"/>
                <w:sz w:val="13"/>
              </w:rPr>
              <w:t>Num. 21:18</w:t>
            </w:r>
          </w:p>
        </w:tc>
        <w:tc>
          <w:tcPr>
            <w:tcW w:type="dxa" w:w="3561"/>
            <w:vAlign w:val="top"/>
          </w:tcPr>
          <w:p>
            <w:pPr>
              <w:spacing w:after="0" w:line="228" w:lineRule="auto"/>
            </w:pPr>
            <w:r>
              <w:rPr>
                <w:rFonts w:ascii="Times New Roman" w:hAnsi="Times New Roman"/>
                <w:sz w:val="13"/>
              </w:rPr>
              <w:t>lawgiver/staves line</w:t>
            </w:r>
          </w:p>
        </w:tc>
        <w:tc>
          <w:tcPr>
            <w:tcW w:type="dxa" w:w="3561"/>
            <w:vAlign w:val="top"/>
          </w:tcPr>
          <w:p>
            <w:pPr>
              <w:spacing w:after="0" w:line="228" w:lineRule="auto"/>
            </w:pPr>
            <w:r>
              <w:rPr>
                <w:rFonts w:ascii="Times New Roman" w:hAnsi="Times New Roman"/>
                <w:sz w:val="13"/>
              </w:rPr>
              <w:t>Poetic syntax difficult.</w:t>
            </w:r>
          </w:p>
        </w:tc>
      </w:tr>
      <w:tr>
        <w:tc>
          <w:tcPr>
            <w:tcW w:type="dxa" w:w="3561"/>
            <w:vAlign w:val="top"/>
          </w:tcPr>
          <w:p>
            <w:pPr>
              <w:spacing w:after="0" w:line="228" w:lineRule="auto"/>
            </w:pPr>
            <w:r>
              <w:rPr>
                <w:rFonts w:ascii="Times New Roman" w:hAnsi="Times New Roman"/>
                <w:sz w:val="13"/>
              </w:rPr>
              <w:t>Num. 21:27</w:t>
            </w:r>
          </w:p>
        </w:tc>
        <w:tc>
          <w:tcPr>
            <w:tcW w:type="dxa" w:w="3561"/>
            <w:vAlign w:val="top"/>
          </w:tcPr>
          <w:p>
            <w:pPr>
              <w:spacing w:after="0" w:line="228" w:lineRule="auto"/>
            </w:pPr>
            <w:r>
              <w:rPr>
                <w:rFonts w:ascii="Times New Roman" w:hAnsi="Times New Roman"/>
                <w:sz w:val="13"/>
              </w:rPr>
              <w:t>mashal</w:t>
            </w:r>
          </w:p>
        </w:tc>
        <w:tc>
          <w:tcPr>
            <w:tcW w:type="dxa" w:w="3561"/>
            <w:vAlign w:val="top"/>
          </w:tcPr>
          <w:p>
            <w:pPr>
              <w:spacing w:after="0" w:line="228" w:lineRule="auto"/>
            </w:pPr>
            <w:r>
              <w:rPr>
                <w:rFonts w:ascii="Times New Roman" w:hAnsi="Times New Roman"/>
                <w:sz w:val="13"/>
              </w:rPr>
              <w:t>Proverb/taunt-poem.</w:t>
            </w:r>
          </w:p>
        </w:tc>
      </w:tr>
      <w:tr>
        <w:tc>
          <w:tcPr>
            <w:tcW w:type="dxa" w:w="3561"/>
            <w:vAlign w:val="top"/>
          </w:tcPr>
          <w:p>
            <w:pPr>
              <w:spacing w:after="0" w:line="228" w:lineRule="auto"/>
            </w:pPr>
            <w:r>
              <w:rPr>
                <w:rFonts w:ascii="Times New Roman" w:hAnsi="Times New Roman"/>
                <w:sz w:val="13"/>
              </w:rPr>
              <w:t>Num. 21:24</w:t>
            </w:r>
          </w:p>
        </w:tc>
        <w:tc>
          <w:tcPr>
            <w:tcW w:type="dxa" w:w="3561"/>
            <w:vAlign w:val="top"/>
          </w:tcPr>
          <w:p>
            <w:pPr>
              <w:spacing w:after="0" w:line="228" w:lineRule="auto"/>
            </w:pPr>
            <w:r>
              <w:rPr>
                <w:rFonts w:ascii="Times New Roman" w:hAnsi="Times New Roman"/>
                <w:sz w:val="13"/>
              </w:rPr>
              <w:t>Arnon to Jabbok</w:t>
            </w:r>
          </w:p>
        </w:tc>
        <w:tc>
          <w:tcPr>
            <w:tcW w:type="dxa" w:w="3561"/>
            <w:vAlign w:val="top"/>
          </w:tcPr>
          <w:p>
            <w:pPr>
              <w:spacing w:after="0" w:line="228" w:lineRule="auto"/>
            </w:pPr>
            <w:r>
              <w:rPr>
                <w:rFonts w:ascii="Times New Roman" w:hAnsi="Times New Roman"/>
                <w:sz w:val="13"/>
              </w:rPr>
              <w:t>Sihon’s conquered territory passes to Israel.</w:t>
            </w:r>
          </w:p>
        </w:tc>
      </w:tr>
      <w:tr>
        <w:tc>
          <w:tcPr>
            <w:tcW w:type="dxa" w:w="3561"/>
            <w:vAlign w:val="top"/>
          </w:tcPr>
          <w:p>
            <w:pPr>
              <w:spacing w:after="0" w:line="228" w:lineRule="auto"/>
            </w:pPr>
            <w:r>
              <w:rPr>
                <w:rFonts w:ascii="Times New Roman" w:hAnsi="Times New Roman"/>
                <w:sz w:val="13"/>
              </w:rPr>
              <w:t>Num. 21:34</w:t>
            </w:r>
          </w:p>
        </w:tc>
        <w:tc>
          <w:tcPr>
            <w:tcW w:type="dxa" w:w="3561"/>
            <w:vAlign w:val="top"/>
          </w:tcPr>
          <w:p>
            <w:pPr>
              <w:spacing w:after="0" w:line="228" w:lineRule="auto"/>
            </w:pPr>
            <w:r>
              <w:rPr>
                <w:rFonts w:ascii="Times New Roman" w:hAnsi="Times New Roman"/>
                <w:sz w:val="13"/>
              </w:rPr>
              <w:t>fear not Og</w:t>
            </w:r>
          </w:p>
        </w:tc>
        <w:tc>
          <w:tcPr>
            <w:tcW w:type="dxa" w:w="3561"/>
            <w:vAlign w:val="top"/>
          </w:tcPr>
          <w:p>
            <w:pPr>
              <w:spacing w:after="0" w:line="228" w:lineRule="auto"/>
            </w:pPr>
            <w:r>
              <w:rPr>
                <w:rFonts w:ascii="Times New Roman" w:hAnsi="Times New Roman"/>
                <w:sz w:val="13"/>
              </w:rPr>
              <w:t>Victory explicitly promised by Yahweh.</w:t>
            </w:r>
          </w:p>
        </w:tc>
      </w:tr>
    </w:tbl>
    <w:p>
      <w:pPr>
        <w:pStyle w:val="Heading1"/>
      </w:pPr>
      <w:r>
        <w:t>RESIDUAL UNCERTAINTIES</w:t>
      </w:r>
    </w:p>
    <w:p>
      <w:pPr/>
      <w:r>
        <w:rPr>
          <w:i w:val="0"/>
        </w:rPr>
        <w:t>The route south/east around Edom, the location of several stations, the Atharim phrase, and the ancient quotation in verses 14–15 remain uncertain. Mansfield’s specific serpent-species identification and detailed geological itinerary are useful possibilities but are not treated as inspired facts.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1"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13"/>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2" w:after="13"/>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