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23</w:t>
      </w:r>
    </w:p>
    <w:p>
      <w:pPr>
        <w:pStyle w:val="Subtitle"/>
      </w:pPr>
      <w:r>
        <w:t>SEVEN ALTARS • “HOW SHALL I CURSE, WHOM GOD HATH NOT CURSED?” • A PEOPLE DWELLING ALONE • “GOD IS NOT A MAN” • BLESSING CANNOT BE REVERSED • THE SHOUT OF A KING • NO ENCHANTMENT AGAINST JACOB</w:t>
      </w:r>
    </w:p>
    <w:p>
      <w:pPr/>
      <w:r>
        <w:rPr>
          <w:i/>
        </w:rPr>
        <w:t>H. P. Mansfield Bible notes — checked and arranged in verse-by-verse Expositor style</w:t>
      </w:r>
    </w:p>
    <w:p>
      <w:pPr/>
      <w:r>
        <w:rPr>
          <w:i w:val="0"/>
        </w:rPr>
        <w:t>Source: HPB 03-Lev12-Num36.PDF, mainly pp. 75–76; cross-checked with Mansfield’s Numbers Expositor Chapter 23.</w:t>
      </w:r>
    </w:p>
    <w:p>
      <w:pPr>
        <w:pStyle w:val="Heading1"/>
      </w:pPr>
      <w:r>
        <w:t>CHAPTER OVERVIEW</w:t>
      </w:r>
    </w:p>
    <w:p>
      <w:pPr/>
      <w:r>
        <w:rPr>
          <w:i w:val="0"/>
        </w:rPr>
        <w:t>Numbers 23 records Balaam’s first two oracles. Balak changes ritual arrangements and viewpoints, but he cannot change Yahweh’s declared purpose. The curse repeatedly becomes blessing.</w:t>
      </w:r>
    </w:p>
    <w:p>
      <w:pPr/>
      <w:r>
        <w:rPr>
          <w:i w:val="0"/>
        </w:rPr>
        <w:t>The chapter does not portray Israel as individually sinless. Its language speaks from the standpoint of Yahweh’s covenant purpose and the impossibility of Balak’s divination overturning the blessing.</w:t>
      </w:r>
    </w:p>
    <w:p>
      <w:pPr>
        <w:pStyle w:val="Heading1"/>
      </w:pPr>
      <w:r>
        <w:t>SEVEN ALTARS — NUMBERS 23:1–6</w:t>
      </w:r>
    </w:p>
    <w:p>
      <w:pPr>
        <w:pStyle w:val="Heading2"/>
      </w:pPr>
      <w:r>
        <w:t>Numbers 23:1–4 — elaborate sacrifice cannot control Yahweh</w:t>
      </w:r>
    </w:p>
    <w:p>
      <w:pPr/>
      <w:r>
        <w:rPr>
          <w:i w:val="0"/>
        </w:rPr>
        <w:t>Balaam directs Balak to build seven altars and prepare seven bulls and seven rams. One bull and one ram are offered on each altar.</w:t>
      </w:r>
    </w:p>
    <w:p>
      <w:pPr/>
      <w:r>
        <w:rPr>
          <w:i w:val="0"/>
        </w:rPr>
        <w:t>Seven may invite symbolic reflection, but the chapter does not state Mansfield’s later geopolitical/numerological interpretation of the altar scheme.</w:t>
      </w:r>
    </w:p>
    <w:p>
      <w:pPr>
        <w:pStyle w:val="Heading2"/>
      </w:pPr>
      <w:r>
        <w:t>Numbers 23:3–6 — Yahweh puts the word in Balaam’s mouth</w:t>
      </w:r>
    </w:p>
    <w:p>
      <w:pPr/>
      <w:r>
        <w:rPr>
          <w:i w:val="0"/>
        </w:rPr>
        <w:t>Balaam withdraws seeking an encounter, but the decisive action is Yahweh’s: He meets Balaam and places a word in his mouth.</w:t>
      </w:r>
    </w:p>
    <w:p>
      <w:pPr/>
      <w:r>
        <w:rPr>
          <w:i w:val="0"/>
        </w:rPr>
        <w:t>Ritual quantity does not purchase or manipulate revelation.</w:t>
      </w:r>
    </w:p>
    <w:p>
      <w:pPr>
        <w:pStyle w:val="Heading1"/>
      </w:pPr>
      <w:r>
        <w:t>FIRST ORACLE — NUMBERS 23:7–10</w:t>
      </w:r>
    </w:p>
    <w:p>
      <w:pPr>
        <w:pStyle w:val="Heading2"/>
      </w:pPr>
      <w:r>
        <w:t>Numbers 23:7–8 — “How shall I curse?”</w:t>
      </w:r>
    </w:p>
    <w:p>
      <w:pPr/>
      <w:r>
        <w:rPr>
          <w:i w:val="0"/>
        </w:rPr>
        <w:t>Balaam takes up his mashal, authoritative poetic saying/oracle, and asks how he can curse or denounce those whom God has not cursed or denounced.</w:t>
      </w:r>
    </w:p>
    <w:p>
      <w:pPr/>
      <w:r>
        <w:rPr>
          <w:i w:val="0"/>
        </w:rPr>
        <w:t>The oracle immediately defeats Balak’s premise.</w:t>
      </w:r>
    </w:p>
    <w:p>
      <w:pPr>
        <w:pStyle w:val="Heading2"/>
      </w:pPr>
      <w:r>
        <w:t>Numbers 23:9 — “the people shall dwell alone”</w:t>
      </w:r>
    </w:p>
    <w:p>
      <w:pPr/>
      <w:r>
        <w:rPr>
          <w:i w:val="0"/>
        </w:rPr>
        <w:t>From the heights Balaam sees Israel as a people dwelling separately and not reckoned among the nations.</w:t>
      </w:r>
    </w:p>
    <w:p>
      <w:pPr/>
      <w:r>
        <w:rPr>
          <w:i w:val="0"/>
        </w:rPr>
        <w:t>This expresses Israel’s distinct covenant identity. Mansfield pushes the line principally into future prophecy; the wording can also describe the calling and separateness already visible in the encamped nation.</w:t>
      </w:r>
    </w:p>
    <w:p>
      <w:pPr>
        <w:pStyle w:val="Heading2"/>
      </w:pPr>
      <w:r>
        <w:t>Numbers 23:10 — dust of Jacob and death of the upright</w:t>
      </w:r>
    </w:p>
    <w:p>
      <w:pPr/>
      <w:r>
        <w:rPr>
          <w:i w:val="0"/>
        </w:rPr>
        <w:t>Balaam cannot count the dust-like multitude and wishes, “Let me die the death of the righteous, and let my last end be like his!”</w:t>
      </w:r>
    </w:p>
    <w:p>
      <w:pPr/>
      <w:r>
        <w:rPr>
          <w:i w:val="0"/>
        </w:rPr>
        <w:t>The later biblical portrait exposes the tragedy: Balaam desires the righteous outcome while choosing the way of reward-seeking rebellion.</w:t>
      </w:r>
    </w:p>
    <w:p>
      <w:pPr>
        <w:pStyle w:val="Heading1"/>
      </w:pPr>
      <w:r>
        <w:t>BALAK PROTESTS — NUMBERS 23:11–12</w:t>
      </w:r>
    </w:p>
    <w:p>
      <w:pPr>
        <w:pStyle w:val="Heading2"/>
      </w:pPr>
      <w:r>
        <w:t>Numbers 23:11–12 — curse becomes blessing</w:t>
      </w:r>
    </w:p>
    <w:p>
      <w:pPr/>
      <w:r>
        <w:rPr>
          <w:i w:val="0"/>
        </w:rPr>
        <w:t>Balak complains that the hired curse has become a blessing. Balaam replies that he must guard himself to speak what Yahweh puts in his mouth.</w:t>
      </w:r>
    </w:p>
    <w:p>
      <w:pPr>
        <w:pStyle w:val="Heading1"/>
      </w:pPr>
      <w:r>
        <w:t>SECOND VIEWPOINT — NUMBERS 23:13–17</w:t>
      </w:r>
    </w:p>
    <w:p>
      <w:pPr>
        <w:pStyle w:val="Heading2"/>
      </w:pPr>
      <w:r>
        <w:t>Numbers 23:13–17 — changing location does not change God</w:t>
      </w:r>
    </w:p>
    <w:p>
      <w:pPr/>
      <w:r>
        <w:rPr>
          <w:i w:val="0"/>
        </w:rPr>
        <w:t>Balak takes Balaam to another viewpoint where only part of Israel is visible, repeats the seven-altars ritual, and waits for another word.</w:t>
      </w:r>
    </w:p>
    <w:p>
      <w:pPr/>
      <w:r>
        <w:rPr>
          <w:i w:val="0"/>
        </w:rPr>
        <w:t>The change reflects Balak’s superstition: perhaps different scenery can produce a different deity-response.</w:t>
      </w:r>
    </w:p>
    <w:p>
      <w:pPr>
        <w:pStyle w:val="Heading1"/>
      </w:pPr>
      <w:r>
        <w:t>SECOND ORACLE — NUMBERS 23:18–24</w:t>
      </w:r>
    </w:p>
    <w:p>
      <w:pPr>
        <w:pStyle w:val="Heading2"/>
      </w:pPr>
      <w:r>
        <w:t>Numbers 23:18–20 — God does not lie or capriciously reverse His word</w:t>
      </w:r>
    </w:p>
    <w:p>
      <w:pPr/>
      <w:r>
        <w:rPr>
          <w:i w:val="0"/>
        </w:rPr>
        <w:t>“God is not a man, that he should lie; neither the son of man, that he should repent.” Here nacham means relent/change intention. The point is that Yahweh will not be manipulated into reversing this blessing.</w:t>
      </w:r>
    </w:p>
    <w:p>
      <w:pPr/>
      <w:r>
        <w:rPr>
          <w:i w:val="0"/>
        </w:rPr>
        <w:t>Other biblical passages can speak anthropomorphically of God ‘repenting/relenting’ when human circumstances change; Numbers 23:19 denies human-like falsehood and capricious unreliability, not every responsive Divine action.</w:t>
      </w:r>
    </w:p>
    <w:p>
      <w:pPr>
        <w:pStyle w:val="Heading2"/>
      </w:pPr>
      <w:r>
        <w:t>Numbers 23:21 — “not beheld iniquity in Jacob”</w:t>
      </w:r>
    </w:p>
    <w:p>
      <w:pPr/>
      <w:r>
        <w:rPr>
          <w:i w:val="0"/>
        </w:rPr>
        <w:t>The oracle says no ’aven is beheld in Jacob and no ‘amal is seen in Israel, while Yahweh is with him and the teru‘ah of a king is among them.</w:t>
      </w:r>
    </w:p>
    <w:p>
      <w:pPr/>
      <w:r>
        <w:rPr>
          <w:i w:val="0"/>
        </w:rPr>
        <w:t>’Aven can denote trouble/wickedness and ‘amal toil/trouble/misery. The verse should not be read as a claim that no Israelite sins—the immediate narratives prove otherwise. It poetically declares that Balak cannot find a condemning curse-position that nullifies Yahweh’s covenant blessing.</w:t>
      </w:r>
    </w:p>
    <w:p>
      <w:pPr>
        <w:pStyle w:val="Heading2"/>
      </w:pPr>
      <w:r>
        <w:t>Numbers 23:21 — teru‘ah of a king</w:t>
      </w:r>
    </w:p>
    <w:p>
      <w:pPr/>
      <w:r>
        <w:rPr>
          <w:i w:val="0"/>
        </w:rPr>
        <w:t>Teru‘ah is a shout/alarm/acclamation, often associated with trumpet or battle joy. The presence/acclamation of a king is among Israel.</w:t>
      </w:r>
    </w:p>
    <w:p>
      <w:pPr/>
      <w:r>
        <w:rPr>
          <w:i w:val="0"/>
        </w:rPr>
        <w:t>Mansfield’s Jubilee/Messianic development is valuable typology but is not the sole lexical meaning of teru‘ah.</w:t>
      </w:r>
    </w:p>
    <w:p>
      <w:pPr>
        <w:pStyle w:val="Heading2"/>
      </w:pPr>
      <w:r>
        <w:t>Numbers 23:22 — re’em, wild ox</w:t>
      </w:r>
    </w:p>
    <w:p>
      <w:pPr/>
      <w:r>
        <w:rPr>
          <w:i w:val="0"/>
        </w:rPr>
        <w:t>God brings Israel out of Egypt and gives strength compared with a re’em. KJV “unicorn” is obsolete/misleading here; re’em is generally understood as a wild ox/aurochs-type animal.</w:t>
      </w:r>
    </w:p>
    <w:p>
      <w:pPr/>
      <w:r>
        <w:rPr>
          <w:i w:val="0"/>
        </w:rPr>
        <w:t>The animal is not a one-horned mythical creature.</w:t>
      </w:r>
    </w:p>
    <w:p>
      <w:pPr>
        <w:pStyle w:val="Heading2"/>
      </w:pPr>
      <w:r>
        <w:t>Numbers 23:23 — no enchantment or divination can overturn the purpose</w:t>
      </w:r>
    </w:p>
    <w:p>
      <w:pPr/>
      <w:r>
        <w:rPr>
          <w:i w:val="0"/>
        </w:rPr>
        <w:t>There is no nachash, enchantment/omen-taking, against Jacob and no qesem, divination, against Israel. Human occult technique cannot control Yahweh’s promise.</w:t>
      </w:r>
    </w:p>
    <w:p>
      <w:pPr>
        <w:pStyle w:val="Heading2"/>
      </w:pPr>
      <w:r>
        <w:t>Numbers 23:24 — lion-like rising</w:t>
      </w:r>
    </w:p>
    <w:p>
      <w:pPr/>
      <w:r>
        <w:rPr>
          <w:i w:val="0"/>
        </w:rPr>
        <w:t>Israel rises like a lioness/lion and does not lie down until prey is consumed, picturing victorious strength.</w:t>
      </w:r>
    </w:p>
    <w:p>
      <w:pPr>
        <w:pStyle w:val="Heading1"/>
      </w:pPr>
      <w:r>
        <w:t>BALAK TRIES AGAIN — NUMBERS 23:25–30</w:t>
      </w:r>
    </w:p>
    <w:p>
      <w:pPr>
        <w:pStyle w:val="Heading2"/>
      </w:pPr>
      <w:r>
        <w:t>Numbers 23:25–26 — Balak would prefer silence</w:t>
      </w:r>
    </w:p>
    <w:p>
      <w:pPr/>
      <w:r>
        <w:rPr>
          <w:i w:val="0"/>
        </w:rPr>
        <w:t>Balak says that if Balaam cannot curse Israel he should at least stop blessing. Balaam reminds him that only Yahweh’s word can be spoken.</w:t>
      </w:r>
    </w:p>
    <w:p>
      <w:pPr>
        <w:pStyle w:val="Heading2"/>
      </w:pPr>
      <w:r>
        <w:t>Numbers 23:27–30 — Peor and another seven altars</w:t>
      </w:r>
    </w:p>
    <w:p>
      <w:pPr/>
      <w:r>
        <w:rPr>
          <w:i w:val="0"/>
        </w:rPr>
        <w:t>Balak takes Balaam to the top of Peor and repeats the sacrificial arrangement, hoping yet again for a change.</w:t>
      </w:r>
    </w:p>
    <w:p>
      <w:pPr/>
      <w:r>
        <w:rPr>
          <w:i w:val="0"/>
        </w:rPr>
        <w:t>Peor is associated with the Baal-peor cult in the following chapter, but detailed claims about its ritual practices should be based on explicit biblical or securely established historical evidence rather than speculation.</w:t>
      </w:r>
    </w:p>
    <w:p>
      <w:pPr>
        <w:pStyle w:val="Heading1"/>
      </w:pPr>
      <w:r>
        <w:t>PRINCIPAL THEMES</w:t>
      </w:r>
    </w:p>
    <w:p>
      <w:pPr>
        <w:ind w:left="259" w:hanging="202"/>
      </w:pPr>
      <w:r>
        <w:rPr>
          <w:b/>
        </w:rPr>
        <w:t xml:space="preserve">• </w:t>
      </w:r>
      <w:r>
        <w:t>Sevenfold ritual cannot manipulate Yahweh’s message.</w:t>
      </w:r>
    </w:p>
    <w:p>
      <w:pPr>
        <w:ind w:left="259" w:hanging="202"/>
      </w:pPr>
      <w:r>
        <w:rPr>
          <w:b/>
        </w:rPr>
        <w:t xml:space="preserve">• </w:t>
      </w:r>
      <w:r>
        <w:t>Mashal here is an authoritative poetic oracle/proverb-like saying.</w:t>
      </w:r>
    </w:p>
    <w:p>
      <w:pPr>
        <w:ind w:left="259" w:hanging="202"/>
      </w:pPr>
      <w:r>
        <w:rPr>
          <w:b/>
        </w:rPr>
        <w:t xml:space="preserve">• </w:t>
      </w:r>
      <w:r>
        <w:t>Israel’s “dwelling alone” expresses covenant distinctness without requiring that every detail refer only to the distant future.</w:t>
      </w:r>
    </w:p>
    <w:p>
      <w:pPr>
        <w:ind w:left="259" w:hanging="202"/>
      </w:pPr>
      <w:r>
        <w:rPr>
          <w:b/>
        </w:rPr>
        <w:t xml:space="preserve">• </w:t>
      </w:r>
      <w:r>
        <w:t>Wanting the death of the righteous is worthless without walking the righteous way.</w:t>
      </w:r>
    </w:p>
    <w:p>
      <w:pPr>
        <w:ind w:left="259" w:hanging="202"/>
      </w:pPr>
      <w:r>
        <w:rPr>
          <w:b/>
        </w:rPr>
        <w:t xml:space="preserve">• </w:t>
      </w:r>
      <w:r>
        <w:t>Numbers 23:19 declares Yahweh’s truthfulness and reliability, not philosophical immobility.</w:t>
      </w:r>
    </w:p>
    <w:p>
      <w:pPr>
        <w:ind w:left="259" w:hanging="202"/>
      </w:pPr>
      <w:r>
        <w:rPr>
          <w:b/>
        </w:rPr>
        <w:t xml:space="preserve">• </w:t>
      </w:r>
      <w:r>
        <w:t>Verse 21 does not deny the existence of individual Israelite sin.</w:t>
      </w:r>
    </w:p>
    <w:p>
      <w:pPr>
        <w:ind w:left="259" w:hanging="202"/>
      </w:pPr>
      <w:r>
        <w:rPr>
          <w:b/>
        </w:rPr>
        <w:t xml:space="preserve">• </w:t>
      </w:r>
      <w:r>
        <w:t>Teru‘ah means shout/acclamation/alarm; royal and Jubilee associations are secondary applications.</w:t>
      </w:r>
    </w:p>
    <w:p>
      <w:pPr>
        <w:ind w:left="259" w:hanging="202"/>
      </w:pPr>
      <w:r>
        <w:rPr>
          <w:b/>
        </w:rPr>
        <w:t xml:space="preserve">• </w:t>
      </w:r>
      <w:r>
        <w:t>KJV “unicorn” should be corrected to wild ox (`re’em`).</w:t>
      </w:r>
    </w:p>
    <w:p>
      <w:pPr>
        <w:ind w:left="259" w:hanging="202"/>
      </w:pPr>
      <w:r>
        <w:rPr>
          <w:b/>
        </w:rPr>
        <w:t xml:space="preserve">• </w:t>
      </w:r>
      <w:r>
        <w:t>No enchantment or divination can overturn Yahweh’s covenant purpose.</w:t>
      </w:r>
    </w:p>
    <w:p>
      <w:pPr>
        <w:ind w:left="259" w:hanging="202"/>
      </w:pPr>
      <w:r>
        <w:rPr>
          <w:b/>
        </w:rPr>
        <w:t xml:space="preserve">• </w:t>
      </w:r>
      <w:r>
        <w:t>Balak’s repeated change of location exposes superstition rather than perseverance of faith.</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8" w:lineRule="auto"/>
            </w:pPr>
            <w:r>
              <w:rPr>
                <w:rFonts w:ascii="Times New Roman" w:hAnsi="Times New Roman"/>
                <w:sz w:val="13"/>
              </w:rPr>
              <w:t>Num. 23:1</w:t>
            </w:r>
          </w:p>
        </w:tc>
        <w:tc>
          <w:tcPr>
            <w:tcW w:type="dxa" w:w="3561"/>
            <w:vAlign w:val="top"/>
          </w:tcPr>
          <w:p>
            <w:pPr>
              <w:spacing w:after="0" w:line="228" w:lineRule="auto"/>
            </w:pPr>
            <w:r>
              <w:rPr>
                <w:rFonts w:ascii="Times New Roman" w:hAnsi="Times New Roman"/>
                <w:sz w:val="13"/>
              </w:rPr>
              <w:t>7 altars / 7 bulls / 7 rams</w:t>
            </w:r>
          </w:p>
        </w:tc>
        <w:tc>
          <w:tcPr>
            <w:tcW w:type="dxa" w:w="3561"/>
            <w:vAlign w:val="top"/>
          </w:tcPr>
          <w:p>
            <w:pPr>
              <w:spacing w:after="0" w:line="228" w:lineRule="auto"/>
            </w:pPr>
            <w:r>
              <w:rPr>
                <w:rFonts w:ascii="Times New Roman" w:hAnsi="Times New Roman"/>
                <w:sz w:val="13"/>
              </w:rPr>
              <w:t>Literal ritual; elaborate numerology is secondary.</w:t>
            </w:r>
          </w:p>
        </w:tc>
      </w:tr>
      <w:tr>
        <w:tc>
          <w:tcPr>
            <w:tcW w:type="dxa" w:w="3561"/>
            <w:vAlign w:val="top"/>
          </w:tcPr>
          <w:p>
            <w:pPr>
              <w:spacing w:after="0" w:line="228" w:lineRule="auto"/>
            </w:pPr>
            <w:r>
              <w:rPr>
                <w:rFonts w:ascii="Times New Roman" w:hAnsi="Times New Roman"/>
                <w:sz w:val="13"/>
              </w:rPr>
              <w:t>Num. 23:7</w:t>
            </w:r>
          </w:p>
        </w:tc>
        <w:tc>
          <w:tcPr>
            <w:tcW w:type="dxa" w:w="3561"/>
            <w:vAlign w:val="top"/>
          </w:tcPr>
          <w:p>
            <w:pPr>
              <w:spacing w:after="0" w:line="228" w:lineRule="auto"/>
            </w:pPr>
            <w:r>
              <w:rPr>
                <w:rFonts w:ascii="Times New Roman" w:hAnsi="Times New Roman"/>
                <w:sz w:val="13"/>
              </w:rPr>
              <w:t>mashal</w:t>
            </w:r>
          </w:p>
        </w:tc>
        <w:tc>
          <w:tcPr>
            <w:tcW w:type="dxa" w:w="3561"/>
            <w:vAlign w:val="top"/>
          </w:tcPr>
          <w:p>
            <w:pPr>
              <w:spacing w:after="0" w:line="228" w:lineRule="auto"/>
            </w:pPr>
            <w:r>
              <w:rPr>
                <w:rFonts w:ascii="Times New Roman" w:hAnsi="Times New Roman"/>
                <w:sz w:val="13"/>
              </w:rPr>
              <w:t>Authoritative poem/oracle/proverb-like saying.</w:t>
            </w:r>
          </w:p>
        </w:tc>
      </w:tr>
      <w:tr>
        <w:tc>
          <w:tcPr>
            <w:tcW w:type="dxa" w:w="3561"/>
            <w:vAlign w:val="top"/>
          </w:tcPr>
          <w:p>
            <w:pPr>
              <w:spacing w:after="0" w:line="228" w:lineRule="auto"/>
            </w:pPr>
            <w:r>
              <w:rPr>
                <w:rFonts w:ascii="Times New Roman" w:hAnsi="Times New Roman"/>
                <w:sz w:val="13"/>
              </w:rPr>
              <w:t>Num. 23:8</w:t>
            </w:r>
          </w:p>
        </w:tc>
        <w:tc>
          <w:tcPr>
            <w:tcW w:type="dxa" w:w="3561"/>
            <w:vAlign w:val="top"/>
          </w:tcPr>
          <w:p>
            <w:pPr>
              <w:spacing w:after="0" w:line="228" w:lineRule="auto"/>
            </w:pPr>
            <w:r>
              <w:rPr>
                <w:rFonts w:ascii="Times New Roman" w:hAnsi="Times New Roman"/>
                <w:sz w:val="13"/>
              </w:rPr>
              <w:t>cannot curse whom God has not cursed</w:t>
            </w:r>
          </w:p>
        </w:tc>
        <w:tc>
          <w:tcPr>
            <w:tcW w:type="dxa" w:w="3561"/>
            <w:vAlign w:val="top"/>
          </w:tcPr>
          <w:p>
            <w:pPr>
              <w:spacing w:after="0" w:line="228" w:lineRule="auto"/>
            </w:pPr>
            <w:r>
              <w:rPr>
                <w:rFonts w:ascii="Times New Roman" w:hAnsi="Times New Roman"/>
                <w:sz w:val="13"/>
              </w:rPr>
              <w:t>Central first-oracle assertion.</w:t>
            </w:r>
          </w:p>
        </w:tc>
      </w:tr>
      <w:tr>
        <w:tc>
          <w:tcPr>
            <w:tcW w:type="dxa" w:w="3561"/>
            <w:vAlign w:val="top"/>
          </w:tcPr>
          <w:p>
            <w:pPr>
              <w:spacing w:after="0" w:line="228" w:lineRule="auto"/>
            </w:pPr>
            <w:r>
              <w:rPr>
                <w:rFonts w:ascii="Times New Roman" w:hAnsi="Times New Roman"/>
                <w:sz w:val="13"/>
              </w:rPr>
              <w:t>Num. 23:9</w:t>
            </w:r>
          </w:p>
        </w:tc>
        <w:tc>
          <w:tcPr>
            <w:tcW w:type="dxa" w:w="3561"/>
            <w:vAlign w:val="top"/>
          </w:tcPr>
          <w:p>
            <w:pPr>
              <w:spacing w:after="0" w:line="228" w:lineRule="auto"/>
            </w:pPr>
            <w:r>
              <w:rPr>
                <w:rFonts w:ascii="Times New Roman" w:hAnsi="Times New Roman"/>
                <w:sz w:val="13"/>
              </w:rPr>
              <w:t>dwell alone</w:t>
            </w:r>
          </w:p>
        </w:tc>
        <w:tc>
          <w:tcPr>
            <w:tcW w:type="dxa" w:w="3561"/>
            <w:vAlign w:val="top"/>
          </w:tcPr>
          <w:p>
            <w:pPr>
              <w:spacing w:after="0" w:line="228" w:lineRule="auto"/>
            </w:pPr>
            <w:r>
              <w:rPr>
                <w:rFonts w:ascii="Times New Roman" w:hAnsi="Times New Roman"/>
                <w:sz w:val="13"/>
              </w:rPr>
              <w:t>Distinct covenant people; not necessarily future-only.</w:t>
            </w:r>
          </w:p>
        </w:tc>
      </w:tr>
      <w:tr>
        <w:tc>
          <w:tcPr>
            <w:tcW w:type="dxa" w:w="3561"/>
            <w:vAlign w:val="top"/>
          </w:tcPr>
          <w:p>
            <w:pPr>
              <w:spacing w:after="0" w:line="228" w:lineRule="auto"/>
            </w:pPr>
            <w:r>
              <w:rPr>
                <w:rFonts w:ascii="Times New Roman" w:hAnsi="Times New Roman"/>
                <w:sz w:val="13"/>
              </w:rPr>
              <w:t>Num. 23:10</w:t>
            </w:r>
          </w:p>
        </w:tc>
        <w:tc>
          <w:tcPr>
            <w:tcW w:type="dxa" w:w="3561"/>
            <w:vAlign w:val="top"/>
          </w:tcPr>
          <w:p>
            <w:pPr>
              <w:spacing w:after="0" w:line="228" w:lineRule="auto"/>
            </w:pPr>
            <w:r>
              <w:rPr>
                <w:rFonts w:ascii="Times New Roman" w:hAnsi="Times New Roman"/>
                <w:sz w:val="13"/>
              </w:rPr>
              <w:t>death of the righteous</w:t>
            </w:r>
          </w:p>
        </w:tc>
        <w:tc>
          <w:tcPr>
            <w:tcW w:type="dxa" w:w="3561"/>
            <w:vAlign w:val="top"/>
          </w:tcPr>
          <w:p>
            <w:pPr>
              <w:spacing w:after="0" w:line="228" w:lineRule="auto"/>
            </w:pPr>
            <w:r>
              <w:rPr>
                <w:rFonts w:ascii="Times New Roman" w:hAnsi="Times New Roman"/>
                <w:sz w:val="13"/>
              </w:rPr>
              <w:t>Desire contrasts with Balaam’s later condemned way.</w:t>
            </w:r>
          </w:p>
        </w:tc>
      </w:tr>
      <w:tr>
        <w:tc>
          <w:tcPr>
            <w:tcW w:type="dxa" w:w="3561"/>
            <w:vAlign w:val="top"/>
          </w:tcPr>
          <w:p>
            <w:pPr>
              <w:spacing w:after="0" w:line="228" w:lineRule="auto"/>
            </w:pPr>
            <w:r>
              <w:rPr>
                <w:rFonts w:ascii="Times New Roman" w:hAnsi="Times New Roman"/>
                <w:sz w:val="13"/>
              </w:rPr>
              <w:t>Num. 23:19</w:t>
            </w:r>
          </w:p>
        </w:tc>
        <w:tc>
          <w:tcPr>
            <w:tcW w:type="dxa" w:w="3561"/>
            <w:vAlign w:val="top"/>
          </w:tcPr>
          <w:p>
            <w:pPr>
              <w:spacing w:after="0" w:line="228" w:lineRule="auto"/>
            </w:pPr>
            <w:r>
              <w:rPr>
                <w:rFonts w:ascii="Times New Roman" w:hAnsi="Times New Roman"/>
                <w:sz w:val="13"/>
              </w:rPr>
              <w:t>nacham</w:t>
            </w:r>
          </w:p>
        </w:tc>
        <w:tc>
          <w:tcPr>
            <w:tcW w:type="dxa" w:w="3561"/>
            <w:vAlign w:val="top"/>
          </w:tcPr>
          <w:p>
            <w:pPr>
              <w:spacing w:after="0" w:line="228" w:lineRule="auto"/>
            </w:pPr>
            <w:r>
              <w:rPr>
                <w:rFonts w:ascii="Times New Roman" w:hAnsi="Times New Roman"/>
                <w:sz w:val="13"/>
              </w:rPr>
              <w:t>Relent/change intention; Yahweh not capricious or deceitful.</w:t>
            </w:r>
          </w:p>
        </w:tc>
      </w:tr>
      <w:tr>
        <w:tc>
          <w:tcPr>
            <w:tcW w:type="dxa" w:w="3561"/>
            <w:vAlign w:val="top"/>
          </w:tcPr>
          <w:p>
            <w:pPr>
              <w:spacing w:after="0" w:line="228" w:lineRule="auto"/>
            </w:pPr>
            <w:r>
              <w:rPr>
                <w:rFonts w:ascii="Times New Roman" w:hAnsi="Times New Roman"/>
                <w:sz w:val="13"/>
              </w:rPr>
              <w:t>Num. 23:20</w:t>
            </w:r>
          </w:p>
        </w:tc>
        <w:tc>
          <w:tcPr>
            <w:tcW w:type="dxa" w:w="3561"/>
            <w:vAlign w:val="top"/>
          </w:tcPr>
          <w:p>
            <w:pPr>
              <w:spacing w:after="0" w:line="228" w:lineRule="auto"/>
            </w:pPr>
            <w:r>
              <w:rPr>
                <w:rFonts w:ascii="Times New Roman" w:hAnsi="Times New Roman"/>
                <w:sz w:val="13"/>
              </w:rPr>
              <w:t>blessing irreversible by Balaam</w:t>
            </w:r>
          </w:p>
        </w:tc>
        <w:tc>
          <w:tcPr>
            <w:tcW w:type="dxa" w:w="3561"/>
            <w:vAlign w:val="top"/>
          </w:tcPr>
          <w:p>
            <w:pPr>
              <w:spacing w:after="0" w:line="228" w:lineRule="auto"/>
            </w:pPr>
            <w:r>
              <w:rPr>
                <w:rFonts w:ascii="Times New Roman" w:hAnsi="Times New Roman"/>
                <w:sz w:val="13"/>
              </w:rPr>
              <w:t>Oracle cannot reverse Yahweh.</w:t>
            </w:r>
          </w:p>
        </w:tc>
      </w:tr>
      <w:tr>
        <w:tc>
          <w:tcPr>
            <w:tcW w:type="dxa" w:w="3561"/>
            <w:vAlign w:val="top"/>
          </w:tcPr>
          <w:p>
            <w:pPr>
              <w:spacing w:after="0" w:line="228" w:lineRule="auto"/>
            </w:pPr>
            <w:r>
              <w:rPr>
                <w:rFonts w:ascii="Times New Roman" w:hAnsi="Times New Roman"/>
                <w:sz w:val="13"/>
              </w:rPr>
              <w:t>Num. 23:21</w:t>
            </w:r>
          </w:p>
        </w:tc>
        <w:tc>
          <w:tcPr>
            <w:tcW w:type="dxa" w:w="3561"/>
            <w:vAlign w:val="top"/>
          </w:tcPr>
          <w:p>
            <w:pPr>
              <w:spacing w:after="0" w:line="228" w:lineRule="auto"/>
            </w:pPr>
            <w:r>
              <w:rPr>
                <w:rFonts w:ascii="Times New Roman" w:hAnsi="Times New Roman"/>
                <w:sz w:val="13"/>
              </w:rPr>
              <w:t>’aven / ‘amal</w:t>
            </w:r>
          </w:p>
        </w:tc>
        <w:tc>
          <w:tcPr>
            <w:tcW w:type="dxa" w:w="3561"/>
            <w:vAlign w:val="top"/>
          </w:tcPr>
          <w:p>
            <w:pPr>
              <w:spacing w:after="0" w:line="228" w:lineRule="auto"/>
            </w:pPr>
            <w:r>
              <w:rPr>
                <w:rFonts w:ascii="Times New Roman" w:hAnsi="Times New Roman"/>
                <w:sz w:val="13"/>
              </w:rPr>
              <w:t>Trouble/wickedness and toil/trouble; not a doctrine of Israelite sinlessness.</w:t>
            </w:r>
          </w:p>
        </w:tc>
      </w:tr>
      <w:tr>
        <w:tc>
          <w:tcPr>
            <w:tcW w:type="dxa" w:w="3561"/>
            <w:vAlign w:val="top"/>
          </w:tcPr>
          <w:p>
            <w:pPr>
              <w:spacing w:after="0" w:line="228" w:lineRule="auto"/>
            </w:pPr>
            <w:r>
              <w:rPr>
                <w:rFonts w:ascii="Times New Roman" w:hAnsi="Times New Roman"/>
                <w:sz w:val="13"/>
              </w:rPr>
              <w:t>Num. 23:21</w:t>
            </w:r>
          </w:p>
        </w:tc>
        <w:tc>
          <w:tcPr>
            <w:tcW w:type="dxa" w:w="3561"/>
            <w:vAlign w:val="top"/>
          </w:tcPr>
          <w:p>
            <w:pPr>
              <w:spacing w:after="0" w:line="228" w:lineRule="auto"/>
            </w:pPr>
            <w:r>
              <w:rPr>
                <w:rFonts w:ascii="Times New Roman" w:hAnsi="Times New Roman"/>
                <w:sz w:val="13"/>
              </w:rPr>
              <w:t>teru‘ah</w:t>
            </w:r>
          </w:p>
        </w:tc>
        <w:tc>
          <w:tcPr>
            <w:tcW w:type="dxa" w:w="3561"/>
            <w:vAlign w:val="top"/>
          </w:tcPr>
          <w:p>
            <w:pPr>
              <w:spacing w:after="0" w:line="228" w:lineRule="auto"/>
            </w:pPr>
            <w:r>
              <w:rPr>
                <w:rFonts w:ascii="Times New Roman" w:hAnsi="Times New Roman"/>
                <w:sz w:val="13"/>
              </w:rPr>
              <w:t>Shout/acclamation/alarm of a king.</w:t>
            </w:r>
          </w:p>
        </w:tc>
      </w:tr>
      <w:tr>
        <w:tc>
          <w:tcPr>
            <w:tcW w:type="dxa" w:w="3561"/>
            <w:vAlign w:val="top"/>
          </w:tcPr>
          <w:p>
            <w:pPr>
              <w:spacing w:after="0" w:line="228" w:lineRule="auto"/>
            </w:pPr>
            <w:r>
              <w:rPr>
                <w:rFonts w:ascii="Times New Roman" w:hAnsi="Times New Roman"/>
                <w:sz w:val="13"/>
              </w:rPr>
              <w:t>Num. 23:22</w:t>
            </w:r>
          </w:p>
        </w:tc>
        <w:tc>
          <w:tcPr>
            <w:tcW w:type="dxa" w:w="3561"/>
            <w:vAlign w:val="top"/>
          </w:tcPr>
          <w:p>
            <w:pPr>
              <w:spacing w:after="0" w:line="228" w:lineRule="auto"/>
            </w:pPr>
            <w:r>
              <w:rPr>
                <w:rFonts w:ascii="Times New Roman" w:hAnsi="Times New Roman"/>
                <w:sz w:val="13"/>
              </w:rPr>
              <w:t>re’em</w:t>
            </w:r>
          </w:p>
        </w:tc>
        <w:tc>
          <w:tcPr>
            <w:tcW w:type="dxa" w:w="3561"/>
            <w:vAlign w:val="top"/>
          </w:tcPr>
          <w:p>
            <w:pPr>
              <w:spacing w:after="0" w:line="228" w:lineRule="auto"/>
            </w:pPr>
            <w:r>
              <w:rPr>
                <w:rFonts w:ascii="Times New Roman" w:hAnsi="Times New Roman"/>
                <w:sz w:val="13"/>
              </w:rPr>
              <w:t>Wild ox/aurochs-type animal; not mythical unicorn.</w:t>
            </w:r>
          </w:p>
        </w:tc>
      </w:tr>
      <w:tr>
        <w:tc>
          <w:tcPr>
            <w:tcW w:type="dxa" w:w="3561"/>
            <w:vAlign w:val="top"/>
          </w:tcPr>
          <w:p>
            <w:pPr>
              <w:spacing w:after="0" w:line="228" w:lineRule="auto"/>
            </w:pPr>
            <w:r>
              <w:rPr>
                <w:rFonts w:ascii="Times New Roman" w:hAnsi="Times New Roman"/>
                <w:sz w:val="13"/>
              </w:rPr>
              <w:t>Num. 23:23</w:t>
            </w:r>
          </w:p>
        </w:tc>
        <w:tc>
          <w:tcPr>
            <w:tcW w:type="dxa" w:w="3561"/>
            <w:vAlign w:val="top"/>
          </w:tcPr>
          <w:p>
            <w:pPr>
              <w:spacing w:after="0" w:line="228" w:lineRule="auto"/>
            </w:pPr>
            <w:r>
              <w:rPr>
                <w:rFonts w:ascii="Times New Roman" w:hAnsi="Times New Roman"/>
                <w:sz w:val="13"/>
              </w:rPr>
              <w:t>nachash / qesem</w:t>
            </w:r>
          </w:p>
        </w:tc>
        <w:tc>
          <w:tcPr>
            <w:tcW w:type="dxa" w:w="3561"/>
            <w:vAlign w:val="top"/>
          </w:tcPr>
          <w:p>
            <w:pPr>
              <w:spacing w:after="0" w:line="228" w:lineRule="auto"/>
            </w:pPr>
            <w:r>
              <w:rPr>
                <w:rFonts w:ascii="Times New Roman" w:hAnsi="Times New Roman"/>
                <w:sz w:val="13"/>
              </w:rPr>
              <w:t>Enchantment/omen-taking / divination.</w:t>
            </w:r>
          </w:p>
        </w:tc>
      </w:tr>
      <w:tr>
        <w:tc>
          <w:tcPr>
            <w:tcW w:type="dxa" w:w="3561"/>
            <w:vAlign w:val="top"/>
          </w:tcPr>
          <w:p>
            <w:pPr>
              <w:spacing w:after="0" w:line="228" w:lineRule="auto"/>
            </w:pPr>
            <w:r>
              <w:rPr>
                <w:rFonts w:ascii="Times New Roman" w:hAnsi="Times New Roman"/>
                <w:sz w:val="13"/>
              </w:rPr>
              <w:t>Num. 23:24</w:t>
            </w:r>
          </w:p>
        </w:tc>
        <w:tc>
          <w:tcPr>
            <w:tcW w:type="dxa" w:w="3561"/>
            <w:vAlign w:val="top"/>
          </w:tcPr>
          <w:p>
            <w:pPr>
              <w:spacing w:after="0" w:line="228" w:lineRule="auto"/>
            </w:pPr>
            <w:r>
              <w:rPr>
                <w:rFonts w:ascii="Times New Roman" w:hAnsi="Times New Roman"/>
                <w:sz w:val="13"/>
              </w:rPr>
              <w:t>lion imagery</w:t>
            </w:r>
          </w:p>
        </w:tc>
        <w:tc>
          <w:tcPr>
            <w:tcW w:type="dxa" w:w="3561"/>
            <w:vAlign w:val="top"/>
          </w:tcPr>
          <w:p>
            <w:pPr>
              <w:spacing w:after="0" w:line="228" w:lineRule="auto"/>
            </w:pPr>
            <w:r>
              <w:rPr>
                <w:rFonts w:ascii="Times New Roman" w:hAnsi="Times New Roman"/>
                <w:sz w:val="13"/>
              </w:rPr>
              <w:t>Israel’s victorious strength.</w:t>
            </w:r>
          </w:p>
        </w:tc>
      </w:tr>
      <w:tr>
        <w:tc>
          <w:tcPr>
            <w:tcW w:type="dxa" w:w="3561"/>
            <w:vAlign w:val="top"/>
          </w:tcPr>
          <w:p>
            <w:pPr>
              <w:spacing w:after="0" w:line="228" w:lineRule="auto"/>
            </w:pPr>
            <w:r>
              <w:rPr>
                <w:rFonts w:ascii="Times New Roman" w:hAnsi="Times New Roman"/>
                <w:sz w:val="13"/>
              </w:rPr>
              <w:t>Num. 23:27–28</w:t>
            </w:r>
          </w:p>
        </w:tc>
        <w:tc>
          <w:tcPr>
            <w:tcW w:type="dxa" w:w="3561"/>
            <w:vAlign w:val="top"/>
          </w:tcPr>
          <w:p>
            <w:pPr>
              <w:spacing w:after="0" w:line="228" w:lineRule="auto"/>
            </w:pPr>
            <w:r>
              <w:rPr>
                <w:rFonts w:ascii="Times New Roman" w:hAnsi="Times New Roman"/>
                <w:sz w:val="13"/>
              </w:rPr>
              <w:t>Peor</w:t>
            </w:r>
          </w:p>
        </w:tc>
        <w:tc>
          <w:tcPr>
            <w:tcW w:type="dxa" w:w="3561"/>
            <w:vAlign w:val="top"/>
          </w:tcPr>
          <w:p>
            <w:pPr>
              <w:spacing w:after="0" w:line="228" w:lineRule="auto"/>
            </w:pPr>
            <w:r>
              <w:rPr>
                <w:rFonts w:ascii="Times New Roman" w:hAnsi="Times New Roman"/>
                <w:sz w:val="13"/>
              </w:rPr>
              <w:t>Third viewpoint; Baal-peor association follows in ch.25.</w:t>
            </w:r>
          </w:p>
        </w:tc>
      </w:tr>
    </w:tbl>
    <w:p>
      <w:pPr>
        <w:pStyle w:val="Heading1"/>
      </w:pPr>
      <w:r>
        <w:t>RESIDUAL UNCERTAINTIES</w:t>
      </w:r>
    </w:p>
    <w:p>
      <w:pPr/>
      <w:r>
        <w:rPr>
          <w:i w:val="0"/>
        </w:rPr>
        <w:t>The semantic details of ’aven and ‘amal in verse 21 are debated, as is the precise animal species behind re’em, though “wild ox” is far more accurate than “unicorn.” Mansfield’s future-only and elaborate latter-day applications are retained as typology, not as exclusive lexical readings.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23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1"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13"/>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2" w:after="13"/>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