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NUMBERS 24</w:t>
      </w:r>
    </w:p>
    <w:p>
      <w:pPr>
        <w:pStyle w:val="Subtitle"/>
      </w:pPr>
      <w:r>
        <w:t>NO MORE ENCHANTMENTS • SPIRIT OF GOD UPON BALAAM • “HOW GOODLY ARE THY TENTS” • WILD-OX STRENGTH • ABRAHAMIC BLESSING • THE STAR AND SCEPTRE • MOAB AND EDOM SUBDUED • KITTIM • BALAAM DEPARTS</w:t>
      </w:r>
    </w:p>
    <w:p>
      <w:pPr/>
      <w:r>
        <w:rPr>
          <w:i/>
        </w:rPr>
        <w:t>H. P. Mansfield Bible notes — checked and arranged in verse-by-verse Expositor style</w:t>
      </w:r>
    </w:p>
    <w:p>
      <w:pPr/>
      <w:r>
        <w:rPr>
          <w:i w:val="0"/>
        </w:rPr>
        <w:t>Source: HPB 03-Lev12-Num36.PDF, mainly p. 77; cross-checked with Mansfield’s Numbers Expositor Chapter 24.</w:t>
      </w:r>
    </w:p>
    <w:p>
      <w:pPr>
        <w:pStyle w:val="Heading1"/>
      </w:pPr>
      <w:r>
        <w:t>CHAPTER OVERVIEW</w:t>
      </w:r>
    </w:p>
    <w:p>
      <w:pPr/>
      <w:r>
        <w:rPr>
          <w:i w:val="0"/>
        </w:rPr>
        <w:t>Numbers 24 completes Balaam’s inspired oracles. Seeing that Yahweh intends to bless Israel, Balaam ceases seeking enchantments and the Spirit of God comes upon him. The blessing rises from Israel’s ordered tents to a future royal ruler from Jacob.</w:t>
      </w:r>
    </w:p>
    <w:p>
      <w:pPr/>
      <w:r>
        <w:rPr>
          <w:i w:val="0"/>
        </w:rPr>
        <w:t>The Star and Sceptre oracle has an immediate Davidic trajectory—David later subdues Moab and Edom—and a larger Messianic/royal horizon within the biblical expectation of the ruler from Jacob.</w:t>
      </w:r>
    </w:p>
    <w:p>
      <w:pPr>
        <w:pStyle w:val="Heading1"/>
      </w:pPr>
      <w:r>
        <w:t>BALAAM CEASES ENCHANTMENTS — NUMBERS 24:1–2</w:t>
      </w:r>
    </w:p>
    <w:p>
      <w:pPr>
        <w:pStyle w:val="Heading2"/>
      </w:pPr>
      <w:r>
        <w:t>Numbers 24:1 — no longer seeking nechashim</w:t>
      </w:r>
    </w:p>
    <w:p>
      <w:pPr/>
      <w:r>
        <w:rPr>
          <w:i w:val="0"/>
        </w:rPr>
        <w:t>Balaam sees that blessing Israel pleases Yahweh and no longer goes “as at other times” to seek nechashim, enchantments/omens. He turns his face toward the wilderness.</w:t>
      </w:r>
    </w:p>
    <w:p>
      <w:pPr/>
      <w:r>
        <w:rPr>
          <w:i w:val="0"/>
        </w:rPr>
        <w:t>This verse confirms that his earlier procedures involved divinatory technique despite his use of Yahweh’s Name.</w:t>
      </w:r>
    </w:p>
    <w:p>
      <w:pPr>
        <w:pStyle w:val="Heading2"/>
      </w:pPr>
      <w:r>
        <w:t>Numbers 24:2 — ordered tribes and Spirit of God</w:t>
      </w:r>
    </w:p>
    <w:p>
      <w:pPr/>
      <w:r>
        <w:rPr>
          <w:i w:val="0"/>
        </w:rPr>
        <w:t>Balaam sees Israel dwelling according to tribes and the ruach Elohim, Spirit of God, comes upon him.</w:t>
      </w:r>
    </w:p>
    <w:p>
      <w:pPr/>
      <w:r>
        <w:rPr>
          <w:i w:val="0"/>
        </w:rPr>
        <w:t>The orderly encampment becomes the immediate visual setting for the oracle.</w:t>
      </w:r>
    </w:p>
    <w:p>
      <w:pPr>
        <w:pStyle w:val="Heading1"/>
      </w:pPr>
      <w:r>
        <w:t>THIRD ORACLE — NUMBERS 24:3–9</w:t>
      </w:r>
    </w:p>
    <w:p>
      <w:pPr>
        <w:pStyle w:val="Heading2"/>
      </w:pPr>
      <w:r>
        <w:t>Numbers 24:3–4 — the difficult ‘open eye’ formula</w:t>
      </w:r>
    </w:p>
    <w:p>
      <w:pPr/>
      <w:r>
        <w:rPr>
          <w:i w:val="0"/>
        </w:rPr>
        <w:t>Balaam describes himself as the man shetum ha‘ayin. KJV gives “whose eyes are open”; other ancient/modern interpretations understand the form as uncovered/opened or even closed in the physical sense while vision is granted.</w:t>
      </w:r>
    </w:p>
    <w:p>
      <w:pPr/>
      <w:r>
        <w:rPr>
          <w:i w:val="0"/>
        </w:rPr>
        <w:t>The lexical phrase is genuinely difficult. “Falling into a trance” includes supplied KJV words; the Hebrew says he falls/prostrates while having unveiled/opened eyes/vision.</w:t>
      </w:r>
    </w:p>
    <w:p>
      <w:pPr>
        <w:pStyle w:val="Heading2"/>
      </w:pPr>
      <w:r>
        <w:t>Numbers 24:5–7 — beautiful tents and abundant water</w:t>
      </w:r>
    </w:p>
    <w:p>
      <w:pPr/>
      <w:r>
        <w:rPr>
          <w:i w:val="0"/>
        </w:rPr>
        <w:t>“How goodly are thy tents, O Jacob, and thy tabernacles, O Israel!” The oracle compares Israel with valleys, gardens by a river, aloes planted by Yahweh and cedars beside waters.</w:t>
      </w:r>
    </w:p>
    <w:p>
      <w:pPr/>
      <w:r>
        <w:rPr>
          <w:i w:val="0"/>
        </w:rPr>
        <w:t>The imagery speaks of fertility, order and enduring blessing. Mansfield’s detailed mortal/immortal two-Israel reading is typological rather than demanded by the parallelism.</w:t>
      </w:r>
    </w:p>
    <w:p>
      <w:pPr>
        <w:pStyle w:val="Heading2"/>
      </w:pPr>
      <w:r>
        <w:t>Numbers 24:7 — king higher than Agag</w:t>
      </w:r>
    </w:p>
    <w:p>
      <w:pPr/>
      <w:r>
        <w:rPr>
          <w:i w:val="0"/>
        </w:rPr>
        <w:t>Israel’s king will be higher than Agag and his kingdom exalted. The Masoretic/KJV text reads Agag; the Septuagint has Gog.</w:t>
      </w:r>
    </w:p>
    <w:p>
      <w:pPr/>
      <w:r>
        <w:rPr>
          <w:i w:val="0"/>
        </w:rPr>
        <w:t>Because of this ancient textual difference, Mansfield’s confident equation Agag = Gog and later geopolitical reconstruction should not be presented as certain.</w:t>
      </w:r>
    </w:p>
    <w:p>
      <w:pPr>
        <w:pStyle w:val="Heading2"/>
      </w:pPr>
      <w:r>
        <w:t>Numbers 24:8 — re’em again means wild ox</w:t>
      </w:r>
    </w:p>
    <w:p>
      <w:pPr/>
      <w:r>
        <w:rPr>
          <w:i w:val="0"/>
        </w:rPr>
        <w:t>God brings Israel out of Egypt with strength compared to a re’em, wild ox. Israel will consume opposing nations and break their resistance.</w:t>
      </w:r>
    </w:p>
    <w:p>
      <w:pPr/>
      <w:r>
        <w:rPr>
          <w:i w:val="0"/>
        </w:rPr>
        <w:t>KJV “unicorn” is again corrected.</w:t>
      </w:r>
    </w:p>
    <w:p>
      <w:pPr>
        <w:pStyle w:val="Heading2"/>
      </w:pPr>
      <w:r>
        <w:t>Numbers 24:9 — lion and Abrahamic blessing</w:t>
      </w:r>
    </w:p>
    <w:p>
      <w:pPr/>
      <w:r>
        <w:rPr>
          <w:i w:val="0"/>
        </w:rPr>
        <w:t>Israel crouches like a lion whom none dare rouse. The oracle closes this section with the Abrahamic formula: “Blessed is he that blesseth thee, and cursed is he that curseth thee,” echoing Genesis 12:3.</w:t>
      </w:r>
    </w:p>
    <w:p>
      <w:pPr/>
      <w:r>
        <w:rPr>
          <w:i w:val="0"/>
        </w:rPr>
        <w:t>Balak’s project is therefore directly contradicted by the covenant itself.</w:t>
      </w:r>
    </w:p>
    <w:p>
      <w:pPr>
        <w:pStyle w:val="Heading1"/>
      </w:pPr>
      <w:r>
        <w:t>BALAK DISMISSES BALAAM — NUMBERS 24:10–14</w:t>
      </w:r>
    </w:p>
    <w:p>
      <w:pPr>
        <w:pStyle w:val="Heading2"/>
      </w:pPr>
      <w:r>
        <w:t>Numbers 24:10–11 — anger and lost honour</w:t>
      </w:r>
    </w:p>
    <w:p>
      <w:pPr/>
      <w:r>
        <w:rPr>
          <w:i w:val="0"/>
        </w:rPr>
        <w:t>Balak strikes/claps his hands in anger and tells Balaam to flee, claiming Yahweh has kept him from honour.</w:t>
      </w:r>
    </w:p>
    <w:p>
      <w:pPr>
        <w:pStyle w:val="Heading2"/>
      </w:pPr>
      <w:r>
        <w:t>Numbers 24:12–13 — silver and gold cannot change the word</w:t>
      </w:r>
    </w:p>
    <w:p>
      <w:pPr/>
      <w:r>
        <w:rPr>
          <w:i w:val="0"/>
        </w:rPr>
        <w:t>Balaam reminds Balak that even a house full of silver and gold cannot authorise him to go beyond Yahweh’s command.</w:t>
      </w:r>
    </w:p>
    <w:p>
      <w:pPr/>
      <w:r>
        <w:rPr>
          <w:i w:val="0"/>
        </w:rPr>
        <w:t>His statement is true, but later Scripture still condemns his desire for reward.</w:t>
      </w:r>
    </w:p>
    <w:p>
      <w:pPr>
        <w:pStyle w:val="Heading2"/>
      </w:pPr>
      <w:r>
        <w:t>Numbers 24:14 — counsel and the latter days</w:t>
      </w:r>
    </w:p>
    <w:p>
      <w:pPr/>
      <w:r>
        <w:rPr>
          <w:i w:val="0"/>
        </w:rPr>
        <w:t>Before departing Balaam says he will advise/counsel Balak about what Israel will do to Moab “in the latter days,” literally at the end/latter part of the days.</w:t>
      </w:r>
    </w:p>
    <w:p>
      <w:pPr/>
      <w:r>
        <w:rPr>
          <w:i w:val="0"/>
        </w:rPr>
        <w:t>Numbers 31:16 later explicitly attributes the Peor seduction to Balaam’s counsel, so verse 14 carries an ominous double edge: prophetic information and later evil counsel both belong to his story.</w:t>
      </w:r>
    </w:p>
    <w:p>
      <w:pPr>
        <w:pStyle w:val="Heading1"/>
      </w:pPr>
      <w:r>
        <w:t>THE STAR AND SCEPTRE — NUMBERS 24:15–19</w:t>
      </w:r>
    </w:p>
    <w:p>
      <w:pPr>
        <w:pStyle w:val="Heading2"/>
      </w:pPr>
      <w:r>
        <w:t>Numbers 24:15–16 — inspired seer formula repeated</w:t>
      </w:r>
    </w:p>
    <w:p>
      <w:pPr/>
      <w:r>
        <w:rPr>
          <w:i w:val="0"/>
        </w:rPr>
        <w:t>Balaam repeats the seer formula, hearing El’s words and knowing knowledge of Elyon, the Most High, while receiving the vision of Shaddai.</w:t>
      </w:r>
    </w:p>
    <w:p>
      <w:pPr/>
      <w:r>
        <w:rPr>
          <w:i w:val="0"/>
        </w:rPr>
        <w:t>Mansfield assigns fixed meanings such as “Nourisher/Destroyer” to Shaddai. The etymology is disputed; “Almighty” remains the safer translation.</w:t>
      </w:r>
    </w:p>
    <w:p>
      <w:pPr>
        <w:pStyle w:val="Heading2"/>
      </w:pPr>
      <w:r>
        <w:t>Numbers 24:17 — “I shall see him, but not now”</w:t>
      </w:r>
    </w:p>
    <w:p>
      <w:pPr/>
      <w:r>
        <w:rPr>
          <w:i w:val="0"/>
        </w:rPr>
        <w:t>A future figure is seen at a distance: “there shall come a Star out of Jacob, and a Sceptre shall rise out of Israel.”</w:t>
      </w:r>
    </w:p>
    <w:p>
      <w:pPr/>
      <w:r>
        <w:rPr>
          <w:i w:val="0"/>
        </w:rPr>
        <w:t>The star and sceptre are royal symbols. Genesis 49:10 provides an important earlier sceptre/ruler connection within Jacob.</w:t>
      </w:r>
    </w:p>
    <w:p>
      <w:pPr>
        <w:pStyle w:val="Heading2"/>
      </w:pPr>
      <w:r>
        <w:t>Numbers 24:17–19 — Moab, Edom and dominion</w:t>
      </w:r>
    </w:p>
    <w:p>
      <w:pPr/>
      <w:r>
        <w:rPr>
          <w:i w:val="0"/>
        </w:rPr>
        <w:t>The coming ruler smites/subdues Moab, possesses Edom/Seir and exercises dominion.</w:t>
      </w:r>
    </w:p>
    <w:p>
      <w:pPr/>
      <w:r>
        <w:rPr>
          <w:i w:val="0"/>
        </w:rPr>
        <w:t>David provides a historical royal fulfilment when he subdues Moab and Edom (2 Samuel 8:2,13–14). Within the wider biblical royal hope, the prophecy naturally contributes to Messianic expectation in the greater son of David.</w:t>
      </w:r>
    </w:p>
    <w:p>
      <w:pPr>
        <w:pStyle w:val="Heading2"/>
      </w:pPr>
      <w:r>
        <w:t>“children of Sheth” — a difficult phrase</w:t>
      </w:r>
    </w:p>
    <w:p>
      <w:pPr/>
      <w:r>
        <w:rPr>
          <w:i w:val="0"/>
        </w:rPr>
        <w:t>KJV reads “destroy all the children of Sheth.” The Hebrew phrase bene-sheth is difficult; translations include sons of Sheth/Seth, sons of tumult, or related senses depending on textual analysis.</w:t>
      </w:r>
    </w:p>
    <w:p>
      <w:pPr/>
      <w:r>
        <w:rPr>
          <w:i w:val="0"/>
        </w:rPr>
        <w:t>It should not be used as a foundation for elaborate national identifications.</w:t>
      </w:r>
    </w:p>
    <w:p>
      <w:pPr>
        <w:pStyle w:val="Heading1"/>
      </w:pPr>
      <w:r>
        <w:t>FINAL NATION ORACLES — NUMBERS 24:20–24</w:t>
      </w:r>
    </w:p>
    <w:p>
      <w:pPr>
        <w:pStyle w:val="Heading2"/>
      </w:pPr>
      <w:r>
        <w:t>Numbers 24:20 — Amalek</w:t>
      </w:r>
    </w:p>
    <w:p>
      <w:pPr/>
      <w:r>
        <w:rPr>
          <w:i w:val="0"/>
        </w:rPr>
        <w:t>Amalek is described as first/chief among nations yet destined for final ruin. The exact nuance of “first of the nations” is debated; it need not mean the first nation chronologically to exist.</w:t>
      </w:r>
    </w:p>
    <w:p>
      <w:pPr>
        <w:pStyle w:val="Heading2"/>
      </w:pPr>
      <w:r>
        <w:t>Numbers 24:21–22 — Kenite security and captivity</w:t>
      </w:r>
    </w:p>
    <w:p>
      <w:pPr/>
      <w:r>
        <w:rPr>
          <w:i w:val="0"/>
        </w:rPr>
        <w:t>The Kenite dwelling appears strong/enduring in the rock, yet the oracle anticipates eventual wasting/captivity in relation to Asshur.</w:t>
      </w:r>
    </w:p>
    <w:p>
      <w:pPr/>
      <w:r>
        <w:rPr>
          <w:i w:val="0"/>
        </w:rPr>
        <w:t>Identifying the Kenites directly with later ecclesial priesthood, as Mansfield does, exceeds the text.</w:t>
      </w:r>
    </w:p>
    <w:p>
      <w:pPr>
        <w:pStyle w:val="Heading2"/>
      </w:pPr>
      <w:r>
        <w:t>Numbers 24:23–24 — Kittim, Asshur and Eber</w:t>
      </w:r>
    </w:p>
    <w:p>
      <w:pPr/>
      <w:r>
        <w:rPr>
          <w:i w:val="0"/>
        </w:rPr>
        <w:t>Ships come from Kittim and afflict Asshur and Eber, yet the maritime aggressor also perishes. Kittim originally relates to Cyprus and in later biblical usage can broaden toward western Mediterranean powers.</w:t>
      </w:r>
    </w:p>
    <w:p>
      <w:pPr/>
      <w:r>
        <w:rPr>
          <w:i w:val="0"/>
        </w:rPr>
        <w:t>The verse does not identify modern Russia, the Papacy or a specific contemporary state. Mansfield’s Rome/Russia scheme is therefore not retained as factual exegesis.</w:t>
      </w:r>
    </w:p>
    <w:p>
      <w:pPr/>
      <w:r>
        <w:rPr>
          <w:i w:val="0"/>
        </w:rPr>
        <w:t>Eber may refer to a people/region connected with ‘the other side’ and can be associated with Hebrews in genealogical tradition, but its precise referent in this oracle is uncertain.</w:t>
      </w:r>
    </w:p>
    <w:p>
      <w:pPr>
        <w:pStyle w:val="Heading1"/>
      </w:pPr>
      <w:r>
        <w:t>DEPARTURE — NUMBERS 24:25</w:t>
      </w:r>
    </w:p>
    <w:p>
      <w:pPr>
        <w:pStyle w:val="Heading2"/>
      </w:pPr>
      <w:r>
        <w:t>Numbers 24:25 — Balaam and Balak separate</w:t>
      </w:r>
    </w:p>
    <w:p>
      <w:pPr/>
      <w:r>
        <w:rPr>
          <w:i w:val="0"/>
        </w:rPr>
        <w:t>Balaam rises and returns/goes toward his place, and Balak goes his way. The attempted curse has produced repeated blessings.</w:t>
      </w:r>
    </w:p>
    <w:p>
      <w:pPr/>
      <w:r>
        <w:rPr>
          <w:i w:val="0"/>
        </w:rPr>
        <w:t>Balaam’s story is not finished: Numbers 25 and 31 reveal the destructive counsel by which Israel is later seduced.</w:t>
      </w:r>
    </w:p>
    <w:p>
      <w:pPr>
        <w:pStyle w:val="Heading1"/>
      </w:pPr>
      <w:r>
        <w:t>PRINCIPAL THEMES</w:t>
      </w:r>
    </w:p>
    <w:p>
      <w:pPr>
        <w:ind w:left="259" w:hanging="202"/>
      </w:pPr>
      <w:r>
        <w:rPr>
          <w:b/>
        </w:rPr>
        <w:t xml:space="preserve">• </w:t>
      </w:r>
      <w:r>
        <w:t>Balaam’s earlier practice involved enchantments/omens; chapter 24 says he stops seeking them.</w:t>
      </w:r>
    </w:p>
    <w:p>
      <w:pPr>
        <w:ind w:left="259" w:hanging="202"/>
      </w:pPr>
      <w:r>
        <w:rPr>
          <w:b/>
        </w:rPr>
        <w:t xml:space="preserve">• </w:t>
      </w:r>
      <w:r>
        <w:t>The ‘open eye’ seer formula is lexically difficult and should not be dogmatically rendered from one tradition.</w:t>
      </w:r>
    </w:p>
    <w:p>
      <w:pPr>
        <w:ind w:left="259" w:hanging="202"/>
      </w:pPr>
      <w:r>
        <w:rPr>
          <w:b/>
        </w:rPr>
        <w:t xml:space="preserve">• </w:t>
      </w:r>
      <w:r>
        <w:t>KJV “falling into a trance” contains supplied words not present in Hebrew.</w:t>
      </w:r>
    </w:p>
    <w:p>
      <w:pPr>
        <w:ind w:left="259" w:hanging="202"/>
      </w:pPr>
      <w:r>
        <w:rPr>
          <w:b/>
        </w:rPr>
        <w:t xml:space="preserve">• </w:t>
      </w:r>
      <w:r>
        <w:t>The Masoretic text reads Agag in verse 7 while the Septuagint reads Gog.</w:t>
      </w:r>
    </w:p>
    <w:p>
      <w:pPr>
        <w:ind w:left="259" w:hanging="202"/>
      </w:pPr>
      <w:r>
        <w:rPr>
          <w:b/>
        </w:rPr>
        <w:t xml:space="preserve">• </w:t>
      </w:r>
      <w:r>
        <w:t>`re’em` is a wild ox, not a unicorn.</w:t>
      </w:r>
    </w:p>
    <w:p>
      <w:pPr>
        <w:ind w:left="259" w:hanging="202"/>
      </w:pPr>
      <w:r>
        <w:rPr>
          <w:b/>
        </w:rPr>
        <w:t xml:space="preserve">• </w:t>
      </w:r>
      <w:r>
        <w:t>Genesis 12:3 is echoed directly in the blessing/curse formula.</w:t>
      </w:r>
    </w:p>
    <w:p>
      <w:pPr>
        <w:ind w:left="259" w:hanging="202"/>
      </w:pPr>
      <w:r>
        <w:rPr>
          <w:b/>
        </w:rPr>
        <w:t xml:space="preserve">• </w:t>
      </w:r>
      <w:r>
        <w:t>The Star and Sceptre are royal symbols with Davidic historical fulfilment and larger Messianic significance.</w:t>
      </w:r>
    </w:p>
    <w:p>
      <w:pPr>
        <w:ind w:left="259" w:hanging="202"/>
      </w:pPr>
      <w:r>
        <w:rPr>
          <w:b/>
        </w:rPr>
        <w:t xml:space="preserve">• </w:t>
      </w:r>
      <w:r>
        <w:t>Shaddai’s precise etymology is disputed; “Almighty” is safer than fixed Nourisher/Destroyer claims.</w:t>
      </w:r>
    </w:p>
    <w:p>
      <w:pPr>
        <w:ind w:left="259" w:hanging="202"/>
      </w:pPr>
      <w:r>
        <w:rPr>
          <w:b/>
        </w:rPr>
        <w:t xml:space="preserve">• </w:t>
      </w:r>
      <w:r>
        <w:t>The ‘children of Sheth’ phrase is textually/lexically difficult.</w:t>
      </w:r>
    </w:p>
    <w:p>
      <w:pPr>
        <w:ind w:left="259" w:hanging="202"/>
      </w:pPr>
      <w:r>
        <w:rPr>
          <w:b/>
        </w:rPr>
        <w:t xml:space="preserve">• </w:t>
      </w:r>
      <w:r>
        <w:t>Kittim is a biblical eastern-Mediterranean/western-maritime term, not a code that can be confidently equated with modern Russia.</w:t>
      </w:r>
    </w:p>
    <w:p>
      <w:pPr>
        <w:ind w:left="259" w:hanging="202"/>
      </w:pPr>
      <w:r>
        <w:rPr>
          <w:b/>
        </w:rPr>
        <w:t xml:space="preserve">• </w:t>
      </w:r>
      <w:r>
        <w:t>Numbers 31:16 later connects Balaam directly with the Peor seduction.</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pPr>
              <w:spacing w:after="0" w:line="209" w:lineRule="auto"/>
            </w:pPr>
            <w:r>
              <w:rPr>
                <w:rFonts w:ascii="Arial" w:hAnsi="Arial"/>
                <w:b/>
                <w:sz w:val="14"/>
              </w:rPr>
              <w:t>Location</w:t>
            </w:r>
          </w:p>
        </w:tc>
        <w:tc>
          <w:tcPr>
            <w:tcW w:type="dxa" w:w="3561"/>
          </w:tcPr>
          <w:p>
            <w:pPr>
              <w:spacing w:after="0" w:line="209" w:lineRule="auto"/>
            </w:pPr>
            <w:r>
              <w:rPr>
                <w:rFonts w:ascii="Arial" w:hAnsi="Arial"/>
                <w:b/>
                <w:sz w:val="14"/>
              </w:rPr>
              <w:t>Checked / corrected reading</w:t>
            </w:r>
          </w:p>
        </w:tc>
        <w:tc>
          <w:tcPr>
            <w:tcW w:type="dxa" w:w="3561"/>
          </w:tcPr>
          <w:p>
            <w:pPr>
              <w:spacing w:after="0" w:line="209" w:lineRule="auto"/>
            </w:pPr>
            <w:r>
              <w:rPr>
                <w:rFonts w:ascii="Arial" w:hAnsi="Arial"/>
                <w:b/>
                <w:sz w:val="14"/>
              </w:rPr>
              <w:t>Basis</w:t>
            </w:r>
          </w:p>
        </w:tc>
      </w:tr>
      <w:tr>
        <w:tc>
          <w:tcPr>
            <w:tcW w:type="dxa" w:w="3561"/>
            <w:vAlign w:val="top"/>
          </w:tcPr>
          <w:p>
            <w:pPr>
              <w:spacing w:after="0" w:line="209" w:lineRule="auto"/>
            </w:pPr>
            <w:r>
              <w:rPr>
                <w:rFonts w:ascii="Times New Roman" w:hAnsi="Times New Roman"/>
                <w:sz w:val="12"/>
              </w:rPr>
              <w:t>Num. 24:1</w:t>
            </w:r>
          </w:p>
        </w:tc>
        <w:tc>
          <w:tcPr>
            <w:tcW w:type="dxa" w:w="3561"/>
            <w:vAlign w:val="top"/>
          </w:tcPr>
          <w:p>
            <w:pPr>
              <w:spacing w:after="0" w:line="209" w:lineRule="auto"/>
            </w:pPr>
            <w:r>
              <w:rPr>
                <w:rFonts w:ascii="Times New Roman" w:hAnsi="Times New Roman"/>
                <w:sz w:val="12"/>
              </w:rPr>
              <w:t>nechashim</w:t>
            </w:r>
          </w:p>
        </w:tc>
        <w:tc>
          <w:tcPr>
            <w:tcW w:type="dxa" w:w="3561"/>
            <w:vAlign w:val="top"/>
          </w:tcPr>
          <w:p>
            <w:pPr>
              <w:spacing w:after="0" w:line="209" w:lineRule="auto"/>
            </w:pPr>
            <w:r>
              <w:rPr>
                <w:rFonts w:ascii="Times New Roman" w:hAnsi="Times New Roman"/>
                <w:sz w:val="12"/>
              </w:rPr>
              <w:t>Enchantments/omens; Balaam ceases seeking them.</w:t>
            </w:r>
          </w:p>
        </w:tc>
      </w:tr>
      <w:tr>
        <w:tc>
          <w:tcPr>
            <w:tcW w:type="dxa" w:w="3561"/>
            <w:vAlign w:val="top"/>
          </w:tcPr>
          <w:p>
            <w:pPr>
              <w:spacing w:after="0" w:line="209" w:lineRule="auto"/>
            </w:pPr>
            <w:r>
              <w:rPr>
                <w:rFonts w:ascii="Times New Roman" w:hAnsi="Times New Roman"/>
                <w:sz w:val="12"/>
              </w:rPr>
              <w:t>Num. 24:2</w:t>
            </w:r>
          </w:p>
        </w:tc>
        <w:tc>
          <w:tcPr>
            <w:tcW w:type="dxa" w:w="3561"/>
            <w:vAlign w:val="top"/>
          </w:tcPr>
          <w:p>
            <w:pPr>
              <w:spacing w:after="0" w:line="209" w:lineRule="auto"/>
            </w:pPr>
            <w:r>
              <w:rPr>
                <w:rFonts w:ascii="Times New Roman" w:hAnsi="Times New Roman"/>
                <w:sz w:val="12"/>
              </w:rPr>
              <w:t>ruach Elohim</w:t>
            </w:r>
          </w:p>
        </w:tc>
        <w:tc>
          <w:tcPr>
            <w:tcW w:type="dxa" w:w="3561"/>
            <w:vAlign w:val="top"/>
          </w:tcPr>
          <w:p>
            <w:pPr>
              <w:spacing w:after="0" w:line="209" w:lineRule="auto"/>
            </w:pPr>
            <w:r>
              <w:rPr>
                <w:rFonts w:ascii="Times New Roman" w:hAnsi="Times New Roman"/>
                <w:sz w:val="12"/>
              </w:rPr>
              <w:t>Spirit of God comes upon Balaam.</w:t>
            </w:r>
          </w:p>
        </w:tc>
      </w:tr>
      <w:tr>
        <w:tc>
          <w:tcPr>
            <w:tcW w:type="dxa" w:w="3561"/>
            <w:vAlign w:val="top"/>
          </w:tcPr>
          <w:p>
            <w:pPr>
              <w:spacing w:after="0" w:line="209" w:lineRule="auto"/>
            </w:pPr>
            <w:r>
              <w:rPr>
                <w:rFonts w:ascii="Times New Roman" w:hAnsi="Times New Roman"/>
                <w:sz w:val="12"/>
              </w:rPr>
              <w:t>Num. 24:3–4</w:t>
            </w:r>
          </w:p>
        </w:tc>
        <w:tc>
          <w:tcPr>
            <w:tcW w:type="dxa" w:w="3561"/>
            <w:vAlign w:val="top"/>
          </w:tcPr>
          <w:p>
            <w:pPr>
              <w:spacing w:after="0" w:line="209" w:lineRule="auto"/>
            </w:pPr>
            <w:r>
              <w:rPr>
                <w:rFonts w:ascii="Times New Roman" w:hAnsi="Times New Roman"/>
                <w:sz w:val="12"/>
              </w:rPr>
              <w:t>shetum ha‘ayin</w:t>
            </w:r>
          </w:p>
        </w:tc>
        <w:tc>
          <w:tcPr>
            <w:tcW w:type="dxa" w:w="3561"/>
            <w:vAlign w:val="top"/>
          </w:tcPr>
          <w:p>
            <w:pPr>
              <w:spacing w:after="0" w:line="209" w:lineRule="auto"/>
            </w:pPr>
            <w:r>
              <w:rPr>
                <w:rFonts w:ascii="Times New Roman" w:hAnsi="Times New Roman"/>
                <w:sz w:val="12"/>
              </w:rPr>
              <w:t>Difficult seer-eye formula; open/uncovered versus closed tradition.</w:t>
            </w:r>
          </w:p>
        </w:tc>
      </w:tr>
      <w:tr>
        <w:tc>
          <w:tcPr>
            <w:tcW w:type="dxa" w:w="3561"/>
            <w:vAlign w:val="top"/>
          </w:tcPr>
          <w:p>
            <w:pPr>
              <w:spacing w:after="0" w:line="209" w:lineRule="auto"/>
            </w:pPr>
            <w:r>
              <w:rPr>
                <w:rFonts w:ascii="Times New Roman" w:hAnsi="Times New Roman"/>
                <w:sz w:val="12"/>
              </w:rPr>
              <w:t>Num. 24:4</w:t>
            </w:r>
          </w:p>
        </w:tc>
        <w:tc>
          <w:tcPr>
            <w:tcW w:type="dxa" w:w="3561"/>
            <w:vAlign w:val="top"/>
          </w:tcPr>
          <w:p>
            <w:pPr>
              <w:spacing w:after="0" w:line="209" w:lineRule="auto"/>
            </w:pPr>
            <w:r>
              <w:rPr>
                <w:rFonts w:ascii="Times New Roman" w:hAnsi="Times New Roman"/>
                <w:sz w:val="12"/>
              </w:rPr>
              <w:t>“into a trance”</w:t>
            </w:r>
          </w:p>
        </w:tc>
        <w:tc>
          <w:tcPr>
            <w:tcW w:type="dxa" w:w="3561"/>
            <w:vAlign w:val="top"/>
          </w:tcPr>
          <w:p>
            <w:pPr>
              <w:spacing w:after="0" w:line="209" w:lineRule="auto"/>
            </w:pPr>
            <w:r>
              <w:rPr>
                <w:rFonts w:ascii="Times New Roman" w:hAnsi="Times New Roman"/>
                <w:sz w:val="12"/>
              </w:rPr>
              <w:t>KJV-supplied words; Hebrew has falling/prostrating.</w:t>
            </w:r>
          </w:p>
        </w:tc>
      </w:tr>
      <w:tr>
        <w:tc>
          <w:tcPr>
            <w:tcW w:type="dxa" w:w="3561"/>
            <w:vAlign w:val="top"/>
          </w:tcPr>
          <w:p>
            <w:pPr>
              <w:spacing w:after="0" w:line="209" w:lineRule="auto"/>
            </w:pPr>
            <w:r>
              <w:rPr>
                <w:rFonts w:ascii="Times New Roman" w:hAnsi="Times New Roman"/>
                <w:sz w:val="12"/>
              </w:rPr>
              <w:t>Num. 24:5</w:t>
            </w:r>
          </w:p>
        </w:tc>
        <w:tc>
          <w:tcPr>
            <w:tcW w:type="dxa" w:w="3561"/>
            <w:vAlign w:val="top"/>
          </w:tcPr>
          <w:p>
            <w:pPr>
              <w:spacing w:after="0" w:line="209" w:lineRule="auto"/>
            </w:pPr>
            <w:r>
              <w:rPr>
                <w:rFonts w:ascii="Times New Roman" w:hAnsi="Times New Roman"/>
                <w:sz w:val="12"/>
              </w:rPr>
              <w:t>goodly tents</w:t>
            </w:r>
          </w:p>
        </w:tc>
        <w:tc>
          <w:tcPr>
            <w:tcW w:type="dxa" w:w="3561"/>
            <w:vAlign w:val="top"/>
          </w:tcPr>
          <w:p>
            <w:pPr>
              <w:spacing w:after="0" w:line="209" w:lineRule="auto"/>
            </w:pPr>
            <w:r>
              <w:rPr>
                <w:rFonts w:ascii="Times New Roman" w:hAnsi="Times New Roman"/>
                <w:sz w:val="12"/>
              </w:rPr>
              <w:t>Immediate ordered camp imagery.</w:t>
            </w:r>
          </w:p>
        </w:tc>
      </w:tr>
      <w:tr>
        <w:tc>
          <w:tcPr>
            <w:tcW w:type="dxa" w:w="3561"/>
            <w:vAlign w:val="top"/>
          </w:tcPr>
          <w:p>
            <w:pPr>
              <w:spacing w:after="0" w:line="209" w:lineRule="auto"/>
            </w:pPr>
            <w:r>
              <w:rPr>
                <w:rFonts w:ascii="Times New Roman" w:hAnsi="Times New Roman"/>
                <w:sz w:val="12"/>
              </w:rPr>
              <w:t>Num. 24:7</w:t>
            </w:r>
          </w:p>
        </w:tc>
        <w:tc>
          <w:tcPr>
            <w:tcW w:type="dxa" w:w="3561"/>
            <w:vAlign w:val="top"/>
          </w:tcPr>
          <w:p>
            <w:pPr>
              <w:spacing w:after="0" w:line="209" w:lineRule="auto"/>
            </w:pPr>
            <w:r>
              <w:rPr>
                <w:rFonts w:ascii="Times New Roman" w:hAnsi="Times New Roman"/>
                <w:sz w:val="12"/>
              </w:rPr>
              <w:t>Agag / LXX Gog</w:t>
            </w:r>
          </w:p>
        </w:tc>
        <w:tc>
          <w:tcPr>
            <w:tcW w:type="dxa" w:w="3561"/>
            <w:vAlign w:val="top"/>
          </w:tcPr>
          <w:p>
            <w:pPr>
              <w:spacing w:after="0" w:line="209" w:lineRule="auto"/>
            </w:pPr>
            <w:r>
              <w:rPr>
                <w:rFonts w:ascii="Times New Roman" w:hAnsi="Times New Roman"/>
                <w:sz w:val="12"/>
              </w:rPr>
              <w:t>Ancient textual variation; avoid dogmatic equation.</w:t>
            </w:r>
          </w:p>
        </w:tc>
      </w:tr>
      <w:tr>
        <w:tc>
          <w:tcPr>
            <w:tcW w:type="dxa" w:w="3561"/>
            <w:vAlign w:val="top"/>
          </w:tcPr>
          <w:p>
            <w:pPr>
              <w:spacing w:after="0" w:line="209" w:lineRule="auto"/>
            </w:pPr>
            <w:r>
              <w:rPr>
                <w:rFonts w:ascii="Times New Roman" w:hAnsi="Times New Roman"/>
                <w:sz w:val="12"/>
              </w:rPr>
              <w:t>Num. 24:8</w:t>
            </w:r>
          </w:p>
        </w:tc>
        <w:tc>
          <w:tcPr>
            <w:tcW w:type="dxa" w:w="3561"/>
            <w:vAlign w:val="top"/>
          </w:tcPr>
          <w:p>
            <w:pPr>
              <w:spacing w:after="0" w:line="209" w:lineRule="auto"/>
            </w:pPr>
            <w:r>
              <w:rPr>
                <w:rFonts w:ascii="Times New Roman" w:hAnsi="Times New Roman"/>
                <w:sz w:val="12"/>
              </w:rPr>
              <w:t>re’em</w:t>
            </w:r>
          </w:p>
        </w:tc>
        <w:tc>
          <w:tcPr>
            <w:tcW w:type="dxa" w:w="3561"/>
            <w:vAlign w:val="top"/>
          </w:tcPr>
          <w:p>
            <w:pPr>
              <w:spacing w:after="0" w:line="209" w:lineRule="auto"/>
            </w:pPr>
            <w:r>
              <w:rPr>
                <w:rFonts w:ascii="Times New Roman" w:hAnsi="Times New Roman"/>
                <w:sz w:val="12"/>
              </w:rPr>
              <w:t>Wild ox; not mythical unicorn.</w:t>
            </w:r>
          </w:p>
        </w:tc>
      </w:tr>
      <w:tr>
        <w:tc>
          <w:tcPr>
            <w:tcW w:type="dxa" w:w="3561"/>
            <w:vAlign w:val="top"/>
          </w:tcPr>
          <w:p>
            <w:pPr>
              <w:spacing w:after="0" w:line="209" w:lineRule="auto"/>
            </w:pPr>
            <w:r>
              <w:rPr>
                <w:rFonts w:ascii="Times New Roman" w:hAnsi="Times New Roman"/>
                <w:sz w:val="12"/>
              </w:rPr>
              <w:t>Num. 24:9</w:t>
            </w:r>
          </w:p>
        </w:tc>
        <w:tc>
          <w:tcPr>
            <w:tcW w:type="dxa" w:w="3561"/>
            <w:vAlign w:val="top"/>
          </w:tcPr>
          <w:p>
            <w:pPr>
              <w:spacing w:after="0" w:line="209" w:lineRule="auto"/>
            </w:pPr>
            <w:r>
              <w:rPr>
                <w:rFonts w:ascii="Times New Roman" w:hAnsi="Times New Roman"/>
                <w:sz w:val="12"/>
              </w:rPr>
              <w:t>Gen. 12:3 echo</w:t>
            </w:r>
          </w:p>
        </w:tc>
        <w:tc>
          <w:tcPr>
            <w:tcW w:type="dxa" w:w="3561"/>
            <w:vAlign w:val="top"/>
          </w:tcPr>
          <w:p>
            <w:pPr>
              <w:spacing w:after="0" w:line="209" w:lineRule="auto"/>
            </w:pPr>
            <w:r>
              <w:rPr>
                <w:rFonts w:ascii="Times New Roman" w:hAnsi="Times New Roman"/>
                <w:sz w:val="12"/>
              </w:rPr>
              <w:t>Blessing/curse formula directly recalls Abrahamic promise.</w:t>
            </w:r>
          </w:p>
        </w:tc>
      </w:tr>
      <w:tr>
        <w:tc>
          <w:tcPr>
            <w:tcW w:type="dxa" w:w="3561"/>
            <w:vAlign w:val="top"/>
          </w:tcPr>
          <w:p>
            <w:pPr>
              <w:spacing w:after="0" w:line="209" w:lineRule="auto"/>
            </w:pPr>
            <w:r>
              <w:rPr>
                <w:rFonts w:ascii="Times New Roman" w:hAnsi="Times New Roman"/>
                <w:sz w:val="12"/>
              </w:rPr>
              <w:t>Num. 24:14</w:t>
            </w:r>
          </w:p>
        </w:tc>
        <w:tc>
          <w:tcPr>
            <w:tcW w:type="dxa" w:w="3561"/>
            <w:vAlign w:val="top"/>
          </w:tcPr>
          <w:p>
            <w:pPr>
              <w:spacing w:after="0" w:line="209" w:lineRule="auto"/>
            </w:pPr>
            <w:r>
              <w:rPr>
                <w:rFonts w:ascii="Times New Roman" w:hAnsi="Times New Roman"/>
                <w:sz w:val="12"/>
              </w:rPr>
              <w:t>latter days</w:t>
            </w:r>
          </w:p>
        </w:tc>
        <w:tc>
          <w:tcPr>
            <w:tcW w:type="dxa" w:w="3561"/>
            <w:vAlign w:val="top"/>
          </w:tcPr>
          <w:p>
            <w:pPr>
              <w:spacing w:after="0" w:line="209" w:lineRule="auto"/>
            </w:pPr>
            <w:r>
              <w:rPr>
                <w:rFonts w:ascii="Times New Roman" w:hAnsi="Times New Roman"/>
                <w:sz w:val="12"/>
              </w:rPr>
              <w:t>End/latter part of days; later Balaam counsel confirmed Num. 31:16.</w:t>
            </w:r>
          </w:p>
        </w:tc>
      </w:tr>
      <w:tr>
        <w:tc>
          <w:tcPr>
            <w:tcW w:type="dxa" w:w="3561"/>
            <w:vAlign w:val="top"/>
          </w:tcPr>
          <w:p>
            <w:pPr>
              <w:spacing w:after="0" w:line="209" w:lineRule="auto"/>
            </w:pPr>
            <w:r>
              <w:rPr>
                <w:rFonts w:ascii="Times New Roman" w:hAnsi="Times New Roman"/>
                <w:sz w:val="12"/>
              </w:rPr>
              <w:t>Num. 24:16</w:t>
            </w:r>
          </w:p>
        </w:tc>
        <w:tc>
          <w:tcPr>
            <w:tcW w:type="dxa" w:w="3561"/>
            <w:vAlign w:val="top"/>
          </w:tcPr>
          <w:p>
            <w:pPr>
              <w:spacing w:after="0" w:line="209" w:lineRule="auto"/>
            </w:pPr>
            <w:r>
              <w:rPr>
                <w:rFonts w:ascii="Times New Roman" w:hAnsi="Times New Roman"/>
                <w:sz w:val="12"/>
              </w:rPr>
              <w:t>Shaddai</w:t>
            </w:r>
          </w:p>
        </w:tc>
        <w:tc>
          <w:tcPr>
            <w:tcW w:type="dxa" w:w="3561"/>
            <w:vAlign w:val="top"/>
          </w:tcPr>
          <w:p>
            <w:pPr>
              <w:spacing w:after="0" w:line="209" w:lineRule="auto"/>
            </w:pPr>
            <w:r>
              <w:rPr>
                <w:rFonts w:ascii="Times New Roman" w:hAnsi="Times New Roman"/>
                <w:sz w:val="12"/>
              </w:rPr>
              <w:t>Almighty; detailed etymology disputed.</w:t>
            </w:r>
          </w:p>
        </w:tc>
      </w:tr>
      <w:tr>
        <w:tc>
          <w:tcPr>
            <w:tcW w:type="dxa" w:w="3561"/>
            <w:vAlign w:val="top"/>
          </w:tcPr>
          <w:p>
            <w:pPr>
              <w:spacing w:after="0" w:line="209" w:lineRule="auto"/>
            </w:pPr>
            <w:r>
              <w:rPr>
                <w:rFonts w:ascii="Times New Roman" w:hAnsi="Times New Roman"/>
                <w:sz w:val="12"/>
              </w:rPr>
              <w:t>Num. 24:17</w:t>
            </w:r>
          </w:p>
        </w:tc>
        <w:tc>
          <w:tcPr>
            <w:tcW w:type="dxa" w:w="3561"/>
            <w:vAlign w:val="top"/>
          </w:tcPr>
          <w:p>
            <w:pPr>
              <w:spacing w:after="0" w:line="209" w:lineRule="auto"/>
            </w:pPr>
            <w:r>
              <w:rPr>
                <w:rFonts w:ascii="Times New Roman" w:hAnsi="Times New Roman"/>
                <w:sz w:val="12"/>
              </w:rPr>
              <w:t>Star / Sceptre</w:t>
            </w:r>
          </w:p>
        </w:tc>
        <w:tc>
          <w:tcPr>
            <w:tcW w:type="dxa" w:w="3561"/>
            <w:vAlign w:val="top"/>
          </w:tcPr>
          <w:p>
            <w:pPr>
              <w:spacing w:after="0" w:line="209" w:lineRule="auto"/>
            </w:pPr>
            <w:r>
              <w:rPr>
                <w:rFonts w:ascii="Times New Roman" w:hAnsi="Times New Roman"/>
                <w:sz w:val="12"/>
              </w:rPr>
              <w:t>Royal symbols from Jacob/Israel.</w:t>
            </w:r>
          </w:p>
        </w:tc>
      </w:tr>
      <w:tr>
        <w:tc>
          <w:tcPr>
            <w:tcW w:type="dxa" w:w="3561"/>
            <w:vAlign w:val="top"/>
          </w:tcPr>
          <w:p>
            <w:pPr>
              <w:spacing w:after="0" w:line="209" w:lineRule="auto"/>
            </w:pPr>
            <w:r>
              <w:rPr>
                <w:rFonts w:ascii="Times New Roman" w:hAnsi="Times New Roman"/>
                <w:sz w:val="12"/>
              </w:rPr>
              <w:t>Gen. 49:10</w:t>
            </w:r>
          </w:p>
        </w:tc>
        <w:tc>
          <w:tcPr>
            <w:tcW w:type="dxa" w:w="3561"/>
            <w:vAlign w:val="top"/>
          </w:tcPr>
          <w:p>
            <w:pPr>
              <w:spacing w:after="0" w:line="209" w:lineRule="auto"/>
            </w:pPr>
            <w:r>
              <w:rPr>
                <w:rFonts w:ascii="Times New Roman" w:hAnsi="Times New Roman"/>
                <w:sz w:val="12"/>
              </w:rPr>
              <w:t>sceptre/ruler connection</w:t>
            </w:r>
          </w:p>
        </w:tc>
        <w:tc>
          <w:tcPr>
            <w:tcW w:type="dxa" w:w="3561"/>
            <w:vAlign w:val="top"/>
          </w:tcPr>
          <w:p>
            <w:pPr>
              <w:spacing w:after="0" w:line="209" w:lineRule="auto"/>
            </w:pPr>
            <w:r>
              <w:rPr>
                <w:rFonts w:ascii="Times New Roman" w:hAnsi="Times New Roman"/>
                <w:sz w:val="12"/>
              </w:rPr>
              <w:t>Important patriarchal royal background.</w:t>
            </w:r>
          </w:p>
        </w:tc>
      </w:tr>
      <w:tr>
        <w:tc>
          <w:tcPr>
            <w:tcW w:type="dxa" w:w="3561"/>
            <w:vAlign w:val="top"/>
          </w:tcPr>
          <w:p>
            <w:pPr>
              <w:spacing w:after="0" w:line="209" w:lineRule="auto"/>
            </w:pPr>
            <w:r>
              <w:rPr>
                <w:rFonts w:ascii="Times New Roman" w:hAnsi="Times New Roman"/>
                <w:sz w:val="12"/>
              </w:rPr>
              <w:t>2 Sam. 8:2,13–14</w:t>
            </w:r>
          </w:p>
        </w:tc>
        <w:tc>
          <w:tcPr>
            <w:tcW w:type="dxa" w:w="3561"/>
            <w:vAlign w:val="top"/>
          </w:tcPr>
          <w:p>
            <w:pPr>
              <w:spacing w:after="0" w:line="209" w:lineRule="auto"/>
            </w:pPr>
            <w:r>
              <w:rPr>
                <w:rFonts w:ascii="Times New Roman" w:hAnsi="Times New Roman"/>
                <w:sz w:val="12"/>
              </w:rPr>
              <w:t>David subdues Moab/Edom</w:t>
            </w:r>
          </w:p>
        </w:tc>
        <w:tc>
          <w:tcPr>
            <w:tcW w:type="dxa" w:w="3561"/>
            <w:vAlign w:val="top"/>
          </w:tcPr>
          <w:p>
            <w:pPr>
              <w:spacing w:after="0" w:line="209" w:lineRule="auto"/>
            </w:pPr>
            <w:r>
              <w:rPr>
                <w:rFonts w:ascii="Times New Roman" w:hAnsi="Times New Roman"/>
                <w:sz w:val="12"/>
              </w:rPr>
              <w:t>Historical royal fulfilment trajectory.</w:t>
            </w:r>
          </w:p>
        </w:tc>
      </w:tr>
      <w:tr>
        <w:tc>
          <w:tcPr>
            <w:tcW w:type="dxa" w:w="3561"/>
            <w:vAlign w:val="top"/>
          </w:tcPr>
          <w:p>
            <w:pPr>
              <w:spacing w:after="0" w:line="209" w:lineRule="auto"/>
            </w:pPr>
            <w:r>
              <w:rPr>
                <w:rFonts w:ascii="Times New Roman" w:hAnsi="Times New Roman"/>
                <w:sz w:val="12"/>
              </w:rPr>
              <w:t>Num. 24:17</w:t>
            </w:r>
          </w:p>
        </w:tc>
        <w:tc>
          <w:tcPr>
            <w:tcW w:type="dxa" w:w="3561"/>
            <w:vAlign w:val="top"/>
          </w:tcPr>
          <w:p>
            <w:pPr>
              <w:spacing w:after="0" w:line="209" w:lineRule="auto"/>
            </w:pPr>
            <w:r>
              <w:rPr>
                <w:rFonts w:ascii="Times New Roman" w:hAnsi="Times New Roman"/>
                <w:sz w:val="12"/>
              </w:rPr>
              <w:t>bene-sheth</w:t>
            </w:r>
          </w:p>
        </w:tc>
        <w:tc>
          <w:tcPr>
            <w:tcW w:type="dxa" w:w="3561"/>
            <w:vAlign w:val="top"/>
          </w:tcPr>
          <w:p>
            <w:pPr>
              <w:spacing w:after="0" w:line="209" w:lineRule="auto"/>
            </w:pPr>
            <w:r>
              <w:rPr>
                <w:rFonts w:ascii="Times New Roman" w:hAnsi="Times New Roman"/>
                <w:sz w:val="12"/>
              </w:rPr>
              <w:t>Difficult phrase; Seth/tumult readings debated.</w:t>
            </w:r>
          </w:p>
        </w:tc>
      </w:tr>
      <w:tr>
        <w:tc>
          <w:tcPr>
            <w:tcW w:type="dxa" w:w="3561"/>
            <w:vAlign w:val="top"/>
          </w:tcPr>
          <w:p>
            <w:pPr>
              <w:spacing w:after="0" w:line="209" w:lineRule="auto"/>
            </w:pPr>
            <w:r>
              <w:rPr>
                <w:rFonts w:ascii="Times New Roman" w:hAnsi="Times New Roman"/>
                <w:sz w:val="12"/>
              </w:rPr>
              <w:t>Num. 24:20</w:t>
            </w:r>
          </w:p>
        </w:tc>
        <w:tc>
          <w:tcPr>
            <w:tcW w:type="dxa" w:w="3561"/>
            <w:vAlign w:val="top"/>
          </w:tcPr>
          <w:p>
            <w:pPr>
              <w:spacing w:after="0" w:line="209" w:lineRule="auto"/>
            </w:pPr>
            <w:r>
              <w:rPr>
                <w:rFonts w:ascii="Times New Roman" w:hAnsi="Times New Roman"/>
                <w:sz w:val="12"/>
              </w:rPr>
              <w:t>first/chief of nations</w:t>
            </w:r>
          </w:p>
        </w:tc>
        <w:tc>
          <w:tcPr>
            <w:tcW w:type="dxa" w:w="3561"/>
            <w:vAlign w:val="top"/>
          </w:tcPr>
          <w:p>
            <w:pPr>
              <w:spacing w:after="0" w:line="209" w:lineRule="auto"/>
            </w:pPr>
            <w:r>
              <w:rPr>
                <w:rFonts w:ascii="Times New Roman" w:hAnsi="Times New Roman"/>
                <w:sz w:val="12"/>
              </w:rPr>
              <w:t>Amalek prominence phrase not simple chronology.</w:t>
            </w:r>
          </w:p>
        </w:tc>
      </w:tr>
      <w:tr>
        <w:tc>
          <w:tcPr>
            <w:tcW w:type="dxa" w:w="3561"/>
            <w:vAlign w:val="top"/>
          </w:tcPr>
          <w:p>
            <w:pPr>
              <w:spacing w:after="0" w:line="209" w:lineRule="auto"/>
            </w:pPr>
            <w:r>
              <w:rPr>
                <w:rFonts w:ascii="Times New Roman" w:hAnsi="Times New Roman"/>
                <w:sz w:val="12"/>
              </w:rPr>
              <w:t>Num. 24:21–22</w:t>
            </w:r>
          </w:p>
        </w:tc>
        <w:tc>
          <w:tcPr>
            <w:tcW w:type="dxa" w:w="3561"/>
            <w:vAlign w:val="top"/>
          </w:tcPr>
          <w:p>
            <w:pPr>
              <w:spacing w:after="0" w:line="209" w:lineRule="auto"/>
            </w:pPr>
            <w:r>
              <w:rPr>
                <w:rFonts w:ascii="Times New Roman" w:hAnsi="Times New Roman"/>
                <w:sz w:val="12"/>
              </w:rPr>
              <w:t>Kenites</w:t>
            </w:r>
          </w:p>
        </w:tc>
        <w:tc>
          <w:tcPr>
            <w:tcW w:type="dxa" w:w="3561"/>
            <w:vAlign w:val="top"/>
          </w:tcPr>
          <w:p>
            <w:pPr>
              <w:spacing w:after="0" w:line="209" w:lineRule="auto"/>
            </w:pPr>
            <w:r>
              <w:rPr>
                <w:rFonts w:ascii="Times New Roman" w:hAnsi="Times New Roman"/>
                <w:sz w:val="12"/>
              </w:rPr>
              <w:t>Rock security then captivity; later priestly typology not explicit.</w:t>
            </w:r>
          </w:p>
        </w:tc>
      </w:tr>
      <w:tr>
        <w:tc>
          <w:tcPr>
            <w:tcW w:type="dxa" w:w="3561"/>
            <w:vAlign w:val="top"/>
          </w:tcPr>
          <w:p>
            <w:pPr>
              <w:spacing w:after="0" w:line="209" w:lineRule="auto"/>
            </w:pPr>
            <w:r>
              <w:rPr>
                <w:rFonts w:ascii="Times New Roman" w:hAnsi="Times New Roman"/>
                <w:sz w:val="12"/>
              </w:rPr>
              <w:t>Num. 24:24</w:t>
            </w:r>
          </w:p>
        </w:tc>
        <w:tc>
          <w:tcPr>
            <w:tcW w:type="dxa" w:w="3561"/>
            <w:vAlign w:val="top"/>
          </w:tcPr>
          <w:p>
            <w:pPr>
              <w:spacing w:after="0" w:line="209" w:lineRule="auto"/>
            </w:pPr>
            <w:r>
              <w:rPr>
                <w:rFonts w:ascii="Times New Roman" w:hAnsi="Times New Roman"/>
                <w:sz w:val="12"/>
              </w:rPr>
              <w:t>Kittim</w:t>
            </w:r>
          </w:p>
        </w:tc>
        <w:tc>
          <w:tcPr>
            <w:tcW w:type="dxa" w:w="3561"/>
            <w:vAlign w:val="top"/>
          </w:tcPr>
          <w:p>
            <w:pPr>
              <w:spacing w:after="0" w:line="209" w:lineRule="auto"/>
            </w:pPr>
            <w:r>
              <w:rPr>
                <w:rFonts w:ascii="Times New Roman" w:hAnsi="Times New Roman"/>
                <w:sz w:val="12"/>
              </w:rPr>
              <w:t>Cyprus/western maritime designation with broader later usage.</w:t>
            </w:r>
          </w:p>
        </w:tc>
      </w:tr>
      <w:tr>
        <w:tc>
          <w:tcPr>
            <w:tcW w:type="dxa" w:w="3561"/>
            <w:vAlign w:val="top"/>
          </w:tcPr>
          <w:p>
            <w:pPr>
              <w:spacing w:after="0" w:line="209" w:lineRule="auto"/>
            </w:pPr>
            <w:r>
              <w:rPr>
                <w:rFonts w:ascii="Times New Roman" w:hAnsi="Times New Roman"/>
                <w:sz w:val="12"/>
              </w:rPr>
              <w:t>Num. 24:24</w:t>
            </w:r>
          </w:p>
        </w:tc>
        <w:tc>
          <w:tcPr>
            <w:tcW w:type="dxa" w:w="3561"/>
            <w:vAlign w:val="top"/>
          </w:tcPr>
          <w:p>
            <w:pPr>
              <w:spacing w:after="0" w:line="209" w:lineRule="auto"/>
            </w:pPr>
            <w:r>
              <w:rPr>
                <w:rFonts w:ascii="Times New Roman" w:hAnsi="Times New Roman"/>
                <w:sz w:val="12"/>
              </w:rPr>
              <w:t>Asshur / Eber</w:t>
            </w:r>
          </w:p>
        </w:tc>
        <w:tc>
          <w:tcPr>
            <w:tcW w:type="dxa" w:w="3561"/>
            <w:vAlign w:val="top"/>
          </w:tcPr>
          <w:p>
            <w:pPr>
              <w:spacing w:after="0" w:line="209" w:lineRule="auto"/>
            </w:pPr>
            <w:r>
              <w:rPr>
                <w:rFonts w:ascii="Times New Roman" w:hAnsi="Times New Roman"/>
                <w:sz w:val="12"/>
              </w:rPr>
              <w:t>Assyria and uncertain Eber referent.</w:t>
            </w:r>
          </w:p>
        </w:tc>
      </w:tr>
      <w:tr>
        <w:tc>
          <w:tcPr>
            <w:tcW w:type="dxa" w:w="3561"/>
            <w:vAlign w:val="top"/>
          </w:tcPr>
          <w:p>
            <w:pPr>
              <w:spacing w:after="0" w:line="209" w:lineRule="auto"/>
            </w:pPr>
            <w:r>
              <w:rPr>
                <w:rFonts w:ascii="Times New Roman" w:hAnsi="Times New Roman"/>
                <w:sz w:val="12"/>
              </w:rPr>
              <w:t>Num. 24:24</w:t>
            </w:r>
          </w:p>
        </w:tc>
        <w:tc>
          <w:tcPr>
            <w:tcW w:type="dxa" w:w="3561"/>
            <w:vAlign w:val="top"/>
          </w:tcPr>
          <w:p>
            <w:pPr>
              <w:spacing w:after="0" w:line="209" w:lineRule="auto"/>
            </w:pPr>
            <w:r>
              <w:rPr>
                <w:rFonts w:ascii="Times New Roman" w:hAnsi="Times New Roman"/>
                <w:sz w:val="12"/>
              </w:rPr>
              <w:t>modern Rome/Russia scheme</w:t>
            </w:r>
          </w:p>
        </w:tc>
        <w:tc>
          <w:tcPr>
            <w:tcW w:type="dxa" w:w="3561"/>
            <w:vAlign w:val="top"/>
          </w:tcPr>
          <w:p>
            <w:pPr>
              <w:spacing w:after="0" w:line="209" w:lineRule="auto"/>
            </w:pPr>
            <w:r>
              <w:rPr>
                <w:rFonts w:ascii="Times New Roman" w:hAnsi="Times New Roman"/>
                <w:sz w:val="12"/>
              </w:rPr>
              <w:t>Not stated by biblical text; Mansfield speculation excluded from factual layer.</w:t>
            </w:r>
          </w:p>
        </w:tc>
      </w:tr>
      <w:tr>
        <w:tc>
          <w:tcPr>
            <w:tcW w:type="dxa" w:w="3561"/>
            <w:vAlign w:val="top"/>
          </w:tcPr>
          <w:p>
            <w:pPr>
              <w:spacing w:after="0" w:line="209" w:lineRule="auto"/>
            </w:pPr>
            <w:r>
              <w:rPr>
                <w:rFonts w:ascii="Times New Roman" w:hAnsi="Times New Roman"/>
                <w:sz w:val="12"/>
              </w:rPr>
              <w:t>Num. 24:25</w:t>
            </w:r>
          </w:p>
        </w:tc>
        <w:tc>
          <w:tcPr>
            <w:tcW w:type="dxa" w:w="3561"/>
            <w:vAlign w:val="top"/>
          </w:tcPr>
          <w:p>
            <w:pPr>
              <w:spacing w:after="0" w:line="209" w:lineRule="auto"/>
            </w:pPr>
            <w:r>
              <w:rPr>
                <w:rFonts w:ascii="Times New Roman" w:hAnsi="Times New Roman"/>
                <w:sz w:val="12"/>
              </w:rPr>
              <w:t>departure</w:t>
            </w:r>
          </w:p>
        </w:tc>
        <w:tc>
          <w:tcPr>
            <w:tcW w:type="dxa" w:w="3561"/>
            <w:vAlign w:val="top"/>
          </w:tcPr>
          <w:p>
            <w:pPr>
              <w:spacing w:after="0" w:line="209" w:lineRule="auto"/>
            </w:pPr>
            <w:r>
              <w:rPr>
                <w:rFonts w:ascii="Times New Roman" w:hAnsi="Times New Roman"/>
                <w:sz w:val="12"/>
              </w:rPr>
              <w:t>Balaam’s later destructive role continues in chs. 25 and 31.</w:t>
            </w:r>
          </w:p>
        </w:tc>
      </w:tr>
    </w:tbl>
    <w:p>
      <w:pPr>
        <w:pStyle w:val="Heading1"/>
      </w:pPr>
      <w:r>
        <w:t>RESIDUAL UNCERTAINTIES</w:t>
      </w:r>
    </w:p>
    <w:p>
      <w:pPr/>
      <w:r>
        <w:rPr>
          <w:i w:val="0"/>
        </w:rPr>
        <w:t>The seer-eye formula, Agag/Gog textual variant, bene-sheth phrase and final Kittim/Asshur/Eber oracle all contain genuine difficulties. Mansfield’s detailed latter-day identifications with Rome, Russia and the Papacy are interpretive and have been deliberately separated from the verified text.</w:t>
      </w:r>
    </w:p>
    <w:sectPr w:rsidR="00FC693F" w:rsidRPr="0006063C" w:rsidSect="00034616">
      <w:headerReference w:type="default" r:id="rId9"/>
      <w:footerReference w:type="default" r:id="rId10"/>
      <w:pgSz w:w="12240" w:h="15840"/>
      <w:pgMar w:top="706" w:right="778" w:bottom="706"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NUMBERS 24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3" w:line="240" w:lineRule="auto"/>
    </w:pPr>
    <w:rPr>
      <w:rFonts w:ascii="Times New Roman" w:hAnsi="Times New Roman"/>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50" w:after="10"/>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27" w:after="10"/>
      <w:outlineLvl w:val="1"/>
    </w:pPr>
    <w:rPr>
      <w:rFonts w:asciiTheme="majorHAnsi" w:eastAsiaTheme="majorEastAsia" w:hAnsiTheme="majorHAnsi" w:cstheme="majorBidi" w:ascii="Arial" w:hAnsi="Arial"/>
      <w:b/>
      <w:bCs/>
      <w:color w:val="2761A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