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26</w:t>
      </w:r>
    </w:p>
    <w:p>
      <w:pPr>
        <w:pStyle w:val="Subtitle"/>
      </w:pPr>
      <w:r>
        <w:t>THE SECOND CENSUS • A NEW GENERATION • 601,730 FIGHTING MEN • KORAH’S SONS SURVIVE • LAND BY NUMBER AND LOT • 23,000 LEVITES • THE SINAI GENERATION GONE</w:t>
      </w:r>
    </w:p>
    <w:p>
      <w:pPr/>
      <w:r>
        <w:rPr>
          <w:i/>
        </w:rPr>
        <w:t>H. P. Mansfield Bible notes — checked and arranged in verse-by-verse Expositor style</w:t>
      </w:r>
    </w:p>
    <w:p>
      <w:pPr/>
      <w:r>
        <w:rPr>
          <w:i w:val="0"/>
        </w:rPr>
        <w:t>Source: HPB 03-Lev12-Num36.PDF, pp. 78–81; cross-checked with Mansfield’s Numbers Expositor Chapter 26 and the first military census in Numbers 1.</w:t>
      </w:r>
    </w:p>
    <w:p>
      <w:pPr>
        <w:pStyle w:val="Heading1"/>
      </w:pPr>
      <w:r>
        <w:t>CHAPTER OVERVIEW</w:t>
      </w:r>
    </w:p>
    <w:p>
      <w:pPr/>
      <w:r>
        <w:rPr>
          <w:i w:val="0"/>
        </w:rPr>
        <w:t>After the Peor plague, Yahweh orders a new military census. The first Numbers census prepared the generation leaving Sinai; this one prepares the generation standing on the plains of Moab to receive the inheritance.</w:t>
      </w:r>
    </w:p>
    <w:p>
      <w:pPr/>
      <w:r>
        <w:rPr>
          <w:i w:val="0"/>
        </w:rPr>
        <w:t>The total has fallen only slightly—from 603,550 to 601,730—yet the individuals are almost entirely different. The chapter is both obituary and new beginning: Yahweh’s judgment on unbelief has been fulfilled without cancelling His covenant purpose.</w:t>
      </w:r>
    </w:p>
    <w:p>
      <w:pPr>
        <w:pStyle w:val="Heading1"/>
      </w:pPr>
      <w:r>
        <w:t>THE NEW CENSUS — NUMBERS 26:1–4</w:t>
      </w:r>
    </w:p>
    <w:p>
      <w:pPr>
        <w:pStyle w:val="Heading2"/>
      </w:pPr>
      <w:r>
        <w:t>Numbers 26:1–2 — Moses and Eleazar number the new host</w:t>
      </w:r>
    </w:p>
    <w:p>
      <w:pPr/>
      <w:r>
        <w:rPr>
          <w:i w:val="0"/>
        </w:rPr>
        <w:t>After the plague Yahweh tells Moses and Eleazar son of Aaron to count the congregation by fathers’ houses, males twenty years old and upward, all able to go forth to war.</w:t>
      </w:r>
    </w:p>
    <w:p>
      <w:pPr/>
      <w:r>
        <w:rPr>
          <w:i w:val="0"/>
        </w:rPr>
        <w:t>Eleazar now stands where Aaron stood in Numbers 1, itself marking the generational transition.</w:t>
      </w:r>
    </w:p>
    <w:p>
      <w:pPr>
        <w:pStyle w:val="Heading2"/>
      </w:pPr>
      <w:r>
        <w:t>Numbers 26:3–4 — plains of Moab opposite Jericho</w:t>
      </w:r>
    </w:p>
    <w:p>
      <w:pPr/>
      <w:r>
        <w:rPr>
          <w:i w:val="0"/>
        </w:rPr>
        <w:t>The census is taken in the plains of Moab by Jordan near Jericho, at the threshold of the land.</w:t>
      </w:r>
    </w:p>
    <w:p>
      <w:pPr/>
      <w:r>
        <w:rPr>
          <w:i w:val="0"/>
        </w:rPr>
        <w:t>Mansfield calls this the third census if Exodus 30’s half-shekel numbering is included. Within Numbers itself it is the second major military census.</w:t>
      </w:r>
    </w:p>
    <w:p>
      <w:pPr>
        <w:pStyle w:val="Heading1"/>
      </w:pPr>
      <w:r>
        <w:t>TRIBAL FAMILIES AND NUMBERS — NUMBERS 26:5–51</w:t>
      </w:r>
    </w:p>
    <w:p>
      <w:pPr>
        <w:pStyle w:val="Heading2"/>
      </w:pPr>
      <w:r>
        <w:t>Numbers 26:5–11 — Reuben and the Korah reminder</w:t>
      </w:r>
    </w:p>
    <w:p>
      <w:pPr/>
      <w:r>
        <w:rPr>
          <w:i w:val="0"/>
        </w:rPr>
        <w:t>The Reubenite families are listed, followed by a parenthetical recollection of Dathan and Abiram in Korah’s rebellion.</w:t>
      </w:r>
    </w:p>
    <w:p>
      <w:pPr/>
      <w:r>
        <w:rPr>
          <w:i w:val="0"/>
        </w:rPr>
        <w:t>Verse 10 says they became a sign/warning when earth swallowed them and fire consumed the 250. Verse 11 explicitly states: “Notwithstanding the children of Korah died not.” This prevents any reconstruction that annihilates Korah’s whole family.</w:t>
      </w:r>
    </w:p>
    <w:p>
      <w:pPr>
        <w:pStyle w:val="Heading2"/>
      </w:pPr>
      <w:r>
        <w:t>Numbers 26:12–18 — Simeon</w:t>
      </w:r>
    </w:p>
    <w:p>
      <w:pPr/>
      <w:r>
        <w:rPr>
          <w:i w:val="0"/>
        </w:rPr>
        <w:t>Simeon is greatly reduced, numbering 22,200. Compared with 59,300 in Numbers 1, this is a decrease of 37,100, the largest tribal fall.</w:t>
      </w:r>
    </w:p>
    <w:p>
      <w:pPr/>
      <w:r>
        <w:rPr>
          <w:i w:val="0"/>
        </w:rPr>
        <w:t>The proximity to the Peor episode and Zimri’s Simeonite status invites reflection, but Numbers does not state that Peor alone caused the entire forty-year decline.</w:t>
      </w:r>
    </w:p>
    <w:p>
      <w:pPr>
        <w:pStyle w:val="Heading2"/>
      </w:pPr>
      <w:r>
        <w:t>Numbers 26:19–22 — Judah</w:t>
      </w:r>
    </w:p>
    <w:p>
      <w:pPr/>
      <w:r>
        <w:rPr>
          <w:i w:val="0"/>
        </w:rPr>
        <w:t>Er and Onan are remembered as having died in Canaan, and the surviving Judah families are counted. Judah totals 76,500, an increase from 74,600.</w:t>
      </w:r>
    </w:p>
    <w:p>
      <w:pPr>
        <w:pStyle w:val="Heading2"/>
      </w:pPr>
      <w:r>
        <w:t>Numbers 26:23–27 — Issachar and Zebulun</w:t>
      </w:r>
    </w:p>
    <w:p>
      <w:pPr/>
      <w:r>
        <w:rPr>
          <w:i w:val="0"/>
        </w:rPr>
        <w:t>Issachar totals 64,300 and Zebulun 60,500. Both have increased from the first census.</w:t>
      </w:r>
    </w:p>
    <w:p>
      <w:pPr>
        <w:pStyle w:val="Heading2"/>
      </w:pPr>
      <w:r>
        <w:t>Numbers 26:28–37 — Manasseh and Ephraim</w:t>
      </w:r>
    </w:p>
    <w:p>
      <w:pPr/>
      <w:r>
        <w:rPr>
          <w:i w:val="0"/>
        </w:rPr>
        <w:t>Joseph’s descendants are represented through Manasseh and Ephraim. Manasseh rises to 52,700, while Ephraim falls to 32,500.</w:t>
      </w:r>
    </w:p>
    <w:p>
      <w:pPr/>
      <w:r>
        <w:rPr>
          <w:i w:val="0"/>
        </w:rPr>
        <w:t>Verse 33 notes that Zelophehad son of Hepher had no sons, only daughters—Mahlah, Noah, Hoglah, Milcah and Tirzah—preparing for the inheritance ruling of chapter 27.</w:t>
      </w:r>
    </w:p>
    <w:p>
      <w:pPr>
        <w:pStyle w:val="Heading2"/>
      </w:pPr>
      <w:r>
        <w:t>Numbers 26:38–47 — Benjamin, Dan and Asher</w:t>
      </w:r>
    </w:p>
    <w:p>
      <w:pPr/>
      <w:r>
        <w:rPr>
          <w:i w:val="0"/>
        </w:rPr>
        <w:t>Benjamin totals 45,600; Dan 64,400; Asher 53,400. The family lists differ in places from Genesis 46 and Chronicles.</w:t>
      </w:r>
    </w:p>
    <w:p>
      <w:pPr/>
      <w:r>
        <w:rPr>
          <w:i w:val="0"/>
        </w:rPr>
        <w:t>Ancient genealogies can list clans, descendants and prominent lines at different historical stages. Mansfield’s attempt to equate every differing name through proposed aliases should remain tentative.</w:t>
      </w:r>
    </w:p>
    <w:p>
      <w:pPr>
        <w:pStyle w:val="Heading2"/>
      </w:pPr>
      <w:r>
        <w:t>Numbers 26:48–51 — Naphtali and total</w:t>
      </w:r>
    </w:p>
    <w:p>
      <w:pPr/>
      <w:r>
        <w:rPr>
          <w:i w:val="0"/>
        </w:rPr>
        <w:t>Naphtali totals 45,400. The aggregate fighting census is 601,730.</w:t>
      </w:r>
    </w:p>
    <w:p>
      <w:pPr/>
      <w:r>
        <w:rPr>
          <w:i w:val="0"/>
        </w:rPr>
        <w:t>Numbers 1:46 gave 603,550, so the net decrease is 1,820 despite very large rises and falls within individual tribes.</w:t>
      </w:r>
    </w:p>
    <w:p>
      <w:pPr>
        <w:pStyle w:val="Heading1"/>
      </w:pPr>
      <w:r>
        <w:t>LAND ACCORDING TO NUMBER AND LOT — NUMBERS 26:52–56</w:t>
      </w:r>
    </w:p>
    <w:p>
      <w:pPr>
        <w:pStyle w:val="Heading2"/>
      </w:pPr>
      <w:r>
        <w:t>Numbers 26:52–54 — proportional inheritance</w:t>
      </w:r>
    </w:p>
    <w:p>
      <w:pPr/>
      <w:r>
        <w:rPr>
          <w:i w:val="0"/>
        </w:rPr>
        <w:t>The land is divided according to the number of names: larger groups receive a larger inheritance and smaller groups a smaller inheritance.</w:t>
      </w:r>
    </w:p>
    <w:p>
      <w:pPr/>
      <w:r>
        <w:rPr>
          <w:i w:val="0"/>
        </w:rPr>
        <w:t>Population therefore affects quantity.</w:t>
      </w:r>
    </w:p>
    <w:p>
      <w:pPr>
        <w:pStyle w:val="Heading2"/>
      </w:pPr>
      <w:r>
        <w:t>Numbers 26:55–56 — location by lot</w:t>
      </w:r>
    </w:p>
    <w:p>
      <w:pPr/>
      <w:r>
        <w:rPr>
          <w:i w:val="0"/>
        </w:rPr>
        <w:t>At the same time, tribal inheritance is divided by goral, lot, according to the names of ancestral tribes.</w:t>
      </w:r>
    </w:p>
    <w:p>
      <w:pPr/>
      <w:r>
        <w:rPr>
          <w:i w:val="0"/>
        </w:rPr>
        <w:t>The text does not explain the physical mechanics of the lot. Mansfield’s suggestion that it may have involved the breastplate/Urim and Thummim is speculative. The secure principle is Divine allocation combined with proportional size.</w:t>
      </w:r>
    </w:p>
    <w:p>
      <w:pPr>
        <w:pStyle w:val="Heading1"/>
      </w:pPr>
      <w:r>
        <w:t>THE LEVITES — NUMBERS 26:57–62</w:t>
      </w:r>
    </w:p>
    <w:p>
      <w:pPr>
        <w:pStyle w:val="Heading2"/>
      </w:pPr>
      <w:r>
        <w:t>Numbers 26:57–61 — Levitical families and Aaronic losses</w:t>
      </w:r>
    </w:p>
    <w:p>
      <w:pPr/>
      <w:r>
        <w:rPr>
          <w:i w:val="0"/>
        </w:rPr>
        <w:t>Gershon, Kohath and Merari lines are recalled, including Aaron’s sons. Nadab and Abihu are remembered as dying when they offered strange fire.</w:t>
      </w:r>
    </w:p>
    <w:p>
      <w:pPr/>
      <w:r>
        <w:rPr>
          <w:i w:val="0"/>
        </w:rPr>
        <w:t>Levi’s genealogical enumeration has a different purpose from the territorial tribal census.</w:t>
      </w:r>
    </w:p>
    <w:p>
      <w:pPr>
        <w:pStyle w:val="Heading2"/>
      </w:pPr>
      <w:r>
        <w:t>Numbers 26:62 — 23,000 males from one month upward</w:t>
      </w:r>
    </w:p>
    <w:p>
      <w:pPr/>
      <w:r>
        <w:rPr>
          <w:i w:val="0"/>
        </w:rPr>
        <w:t>Levite males from one month old number 23,000. They are not numbered among the other Israelites because no normal territorial inheritance is given them.</w:t>
      </w:r>
    </w:p>
    <w:p>
      <w:pPr/>
      <w:r>
        <w:rPr>
          <w:i w:val="0"/>
        </w:rPr>
        <w:t>This total is not directly comparable with the 601,730 military total, which counts males twenty years and upward able for war.</w:t>
      </w:r>
    </w:p>
    <w:p>
      <w:pPr>
        <w:pStyle w:val="Heading1"/>
      </w:pPr>
      <w:r>
        <w:t>THE OLD MILITARY GENERATION GONE — NUMBERS 26:63–65</w:t>
      </w:r>
    </w:p>
    <w:p>
      <w:pPr>
        <w:pStyle w:val="Heading2"/>
      </w:pPr>
      <w:r>
        <w:t>Numbers 26:63–65 — Caleb and Joshua survive</w:t>
      </w:r>
    </w:p>
    <w:p>
      <w:pPr/>
      <w:r>
        <w:rPr>
          <w:i w:val="0"/>
        </w:rPr>
        <w:t>Among those included in the earlier general census by Moses and Aaron in Sinai, not one remains, because Yahweh had said that generation would die in the wilderness—except Caleb son of Jephunneh and Joshua son of Nun.</w:t>
      </w:r>
    </w:p>
    <w:p>
      <w:pPr/>
      <w:r>
        <w:rPr>
          <w:i w:val="0"/>
        </w:rPr>
        <w:t>The statement concerns those previously numbered in that military generation. Levites were not part of the first general military census, so it should not be expanded into a claim that literally no other older individual of any category survived.</w:t>
      </w:r>
    </w:p>
    <w:p>
      <w:pPr>
        <w:pStyle w:val="Heading1"/>
      </w:pPr>
      <w:r>
        <w:t>PRINCIPAL THEMES</w:t>
      </w:r>
    </w:p>
    <w:p>
      <w:pPr>
        <w:ind w:left="259" w:hanging="202"/>
      </w:pPr>
      <w:r>
        <w:rPr>
          <w:b/>
        </w:rPr>
        <w:t xml:space="preserve">• </w:t>
      </w:r>
      <w:r>
        <w:t>The second Numbers census prepares the new generation for inheritance.</w:t>
      </w:r>
    </w:p>
    <w:p>
      <w:pPr>
        <w:ind w:left="259" w:hanging="202"/>
      </w:pPr>
      <w:r>
        <w:rPr>
          <w:b/>
        </w:rPr>
        <w:t xml:space="preserve">• </w:t>
      </w:r>
      <w:r>
        <w:t>The fighting total changes from 603,550 to 601,730: a net decrease of 1,820.</w:t>
      </w:r>
    </w:p>
    <w:p>
      <w:pPr>
        <w:ind w:left="259" w:hanging="202"/>
      </w:pPr>
      <w:r>
        <w:rPr>
          <w:b/>
        </w:rPr>
        <w:t xml:space="preserve">• </w:t>
      </w:r>
      <w:r>
        <w:t>Tribal totals vary dramatically even though the national total is similar.</w:t>
      </w:r>
    </w:p>
    <w:p>
      <w:pPr>
        <w:ind w:left="259" w:hanging="202"/>
      </w:pPr>
      <w:r>
        <w:rPr>
          <w:b/>
        </w:rPr>
        <w:t xml:space="preserve">• </w:t>
      </w:r>
      <w:r>
        <w:t>Numbers 26:11 explicitly says Korah’s sons did not die.</w:t>
      </w:r>
    </w:p>
    <w:p>
      <w:pPr>
        <w:ind w:left="259" w:hanging="202"/>
      </w:pPr>
      <w:r>
        <w:rPr>
          <w:b/>
        </w:rPr>
        <w:t xml:space="preserve">• </w:t>
      </w:r>
      <w:r>
        <w:t>Genealogical lists from different periods need not name clans in identical ways.</w:t>
      </w:r>
    </w:p>
    <w:p>
      <w:pPr>
        <w:ind w:left="259" w:hanging="202"/>
      </w:pPr>
      <w:r>
        <w:rPr>
          <w:b/>
        </w:rPr>
        <w:t xml:space="preserve">• </w:t>
      </w:r>
      <w:r>
        <w:t>Land size is proportional to population; location is assigned by lot.</w:t>
      </w:r>
    </w:p>
    <w:p>
      <w:pPr>
        <w:ind w:left="259" w:hanging="202"/>
      </w:pPr>
      <w:r>
        <w:rPr>
          <w:b/>
        </w:rPr>
        <w:t xml:space="preserve">• </w:t>
      </w:r>
      <w:r>
        <w:t>The text does not tell us the exact device or mechanics used for casting the lot.</w:t>
      </w:r>
    </w:p>
    <w:p>
      <w:pPr>
        <w:ind w:left="259" w:hanging="202"/>
      </w:pPr>
      <w:r>
        <w:rPr>
          <w:b/>
        </w:rPr>
        <w:t xml:space="preserve">• </w:t>
      </w:r>
      <w:r>
        <w:t>Levites are separately numbered at 23,000 from one month upward and do not share normal territorial inheritance.</w:t>
      </w:r>
    </w:p>
    <w:p>
      <w:pPr>
        <w:ind w:left="259" w:hanging="202"/>
      </w:pPr>
      <w:r>
        <w:rPr>
          <w:b/>
        </w:rPr>
        <w:t xml:space="preserve">• </w:t>
      </w:r>
      <w:r>
        <w:t>Caleb and Joshua survive from the condemned earlier military census generation.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Num. 26:2</w:t>
            </w:r>
          </w:p>
        </w:tc>
        <w:tc>
          <w:tcPr>
            <w:tcW w:type="dxa" w:w="3561"/>
            <w:vAlign w:val="top"/>
          </w:tcPr>
          <w:p>
            <w:pPr>
              <w:spacing w:after="0" w:line="226" w:lineRule="auto"/>
            </w:pPr>
            <w:r>
              <w:rPr>
                <w:rFonts w:ascii="Times New Roman" w:hAnsi="Times New Roman"/>
                <w:sz w:val="13"/>
              </w:rPr>
              <w:t>20 years and upward, able for war</w:t>
            </w:r>
          </w:p>
        </w:tc>
        <w:tc>
          <w:tcPr>
            <w:tcW w:type="dxa" w:w="3561"/>
            <w:vAlign w:val="top"/>
          </w:tcPr>
          <w:p>
            <w:pPr>
              <w:spacing w:after="0" w:line="226" w:lineRule="auto"/>
            </w:pPr>
            <w:r>
              <w:rPr>
                <w:rFonts w:ascii="Times New Roman" w:hAnsi="Times New Roman"/>
                <w:sz w:val="13"/>
              </w:rPr>
              <w:t>Same military threshold as Numbers 1.</w:t>
            </w:r>
          </w:p>
        </w:tc>
      </w:tr>
      <w:tr>
        <w:tc>
          <w:tcPr>
            <w:tcW w:type="dxa" w:w="3561"/>
            <w:vAlign w:val="top"/>
          </w:tcPr>
          <w:p>
            <w:pPr>
              <w:spacing w:after="0" w:line="226" w:lineRule="auto"/>
            </w:pPr>
            <w:r>
              <w:rPr>
                <w:rFonts w:ascii="Times New Roman" w:hAnsi="Times New Roman"/>
                <w:sz w:val="13"/>
              </w:rPr>
              <w:t>Num. 26:7</w:t>
            </w:r>
          </w:p>
        </w:tc>
        <w:tc>
          <w:tcPr>
            <w:tcW w:type="dxa" w:w="3561"/>
            <w:vAlign w:val="top"/>
          </w:tcPr>
          <w:p>
            <w:pPr>
              <w:spacing w:after="0" w:line="226" w:lineRule="auto"/>
            </w:pPr>
            <w:r>
              <w:rPr>
                <w:rFonts w:ascii="Times New Roman" w:hAnsi="Times New Roman"/>
                <w:sz w:val="13"/>
              </w:rPr>
              <w:t>Reuben 43,730</w:t>
            </w:r>
          </w:p>
        </w:tc>
        <w:tc>
          <w:tcPr>
            <w:tcW w:type="dxa" w:w="3561"/>
            <w:vAlign w:val="top"/>
          </w:tcPr>
          <w:p>
            <w:pPr>
              <w:spacing w:after="0" w:line="226" w:lineRule="auto"/>
            </w:pPr>
            <w:r>
              <w:rPr>
                <w:rFonts w:ascii="Times New Roman" w:hAnsi="Times New Roman"/>
                <w:sz w:val="13"/>
              </w:rPr>
              <w:t>Down 2,770 from 46,500.</w:t>
            </w:r>
          </w:p>
        </w:tc>
      </w:tr>
      <w:tr>
        <w:tc>
          <w:tcPr>
            <w:tcW w:type="dxa" w:w="3561"/>
            <w:vAlign w:val="top"/>
          </w:tcPr>
          <w:p>
            <w:pPr>
              <w:spacing w:after="0" w:line="226" w:lineRule="auto"/>
            </w:pPr>
            <w:r>
              <w:rPr>
                <w:rFonts w:ascii="Times New Roman" w:hAnsi="Times New Roman"/>
                <w:sz w:val="13"/>
              </w:rPr>
              <w:t>Num. 26:10</w:t>
            </w:r>
          </w:p>
        </w:tc>
        <w:tc>
          <w:tcPr>
            <w:tcW w:type="dxa" w:w="3561"/>
            <w:vAlign w:val="top"/>
          </w:tcPr>
          <w:p>
            <w:pPr>
              <w:spacing w:after="0" w:line="226" w:lineRule="auto"/>
            </w:pPr>
            <w:r>
              <w:rPr>
                <w:rFonts w:ascii="Times New Roman" w:hAnsi="Times New Roman"/>
                <w:sz w:val="13"/>
              </w:rPr>
              <w:t>became a sign</w:t>
            </w:r>
          </w:p>
        </w:tc>
        <w:tc>
          <w:tcPr>
            <w:tcW w:type="dxa" w:w="3561"/>
            <w:vAlign w:val="top"/>
          </w:tcPr>
          <w:p>
            <w:pPr>
              <w:spacing w:after="0" w:line="226" w:lineRule="auto"/>
            </w:pPr>
            <w:r>
              <w:rPr>
                <w:rFonts w:ascii="Times New Roman" w:hAnsi="Times New Roman"/>
                <w:sz w:val="13"/>
              </w:rPr>
              <w:t>Korah-associated judgment remembered as warning.</w:t>
            </w:r>
          </w:p>
        </w:tc>
      </w:tr>
      <w:tr>
        <w:tc>
          <w:tcPr>
            <w:tcW w:type="dxa" w:w="3561"/>
            <w:vAlign w:val="top"/>
          </w:tcPr>
          <w:p>
            <w:pPr>
              <w:spacing w:after="0" w:line="226" w:lineRule="auto"/>
            </w:pPr>
            <w:r>
              <w:rPr>
                <w:rFonts w:ascii="Times New Roman" w:hAnsi="Times New Roman"/>
                <w:sz w:val="13"/>
              </w:rPr>
              <w:t>Num. 26:11</w:t>
            </w:r>
          </w:p>
        </w:tc>
        <w:tc>
          <w:tcPr>
            <w:tcW w:type="dxa" w:w="3561"/>
            <w:vAlign w:val="top"/>
          </w:tcPr>
          <w:p>
            <w:pPr>
              <w:spacing w:after="0" w:line="226" w:lineRule="auto"/>
            </w:pPr>
            <w:r>
              <w:rPr>
                <w:rFonts w:ascii="Times New Roman" w:hAnsi="Times New Roman"/>
                <w:sz w:val="13"/>
              </w:rPr>
              <w:t>sons of Korah did not die</w:t>
            </w:r>
          </w:p>
        </w:tc>
        <w:tc>
          <w:tcPr>
            <w:tcW w:type="dxa" w:w="3561"/>
            <w:vAlign w:val="top"/>
          </w:tcPr>
          <w:p>
            <w:pPr>
              <w:spacing w:after="0" w:line="226" w:lineRule="auto"/>
            </w:pPr>
            <w:r>
              <w:rPr>
                <w:rFonts w:ascii="Times New Roman" w:hAnsi="Times New Roman"/>
                <w:sz w:val="13"/>
              </w:rPr>
              <w:t>Explicit survival statement.</w:t>
            </w:r>
          </w:p>
        </w:tc>
      </w:tr>
      <w:tr>
        <w:tc>
          <w:tcPr>
            <w:tcW w:type="dxa" w:w="3561"/>
            <w:vAlign w:val="top"/>
          </w:tcPr>
          <w:p>
            <w:pPr>
              <w:spacing w:after="0" w:line="226" w:lineRule="auto"/>
            </w:pPr>
            <w:r>
              <w:rPr>
                <w:rFonts w:ascii="Times New Roman" w:hAnsi="Times New Roman"/>
                <w:sz w:val="13"/>
              </w:rPr>
              <w:t>Num. 26:14</w:t>
            </w:r>
          </w:p>
        </w:tc>
        <w:tc>
          <w:tcPr>
            <w:tcW w:type="dxa" w:w="3561"/>
            <w:vAlign w:val="top"/>
          </w:tcPr>
          <w:p>
            <w:pPr>
              <w:spacing w:after="0" w:line="226" w:lineRule="auto"/>
            </w:pPr>
            <w:r>
              <w:rPr>
                <w:rFonts w:ascii="Times New Roman" w:hAnsi="Times New Roman"/>
                <w:sz w:val="13"/>
              </w:rPr>
              <w:t>Simeon 22,200</w:t>
            </w:r>
          </w:p>
        </w:tc>
        <w:tc>
          <w:tcPr>
            <w:tcW w:type="dxa" w:w="3561"/>
            <w:vAlign w:val="top"/>
          </w:tcPr>
          <w:p>
            <w:pPr>
              <w:spacing w:after="0" w:line="226" w:lineRule="auto"/>
            </w:pPr>
            <w:r>
              <w:rPr>
                <w:rFonts w:ascii="Times New Roman" w:hAnsi="Times New Roman"/>
                <w:sz w:val="13"/>
              </w:rPr>
              <w:t>Down 37,100 from 59,300.</w:t>
            </w:r>
          </w:p>
        </w:tc>
      </w:tr>
      <w:tr>
        <w:tc>
          <w:tcPr>
            <w:tcW w:type="dxa" w:w="3561"/>
            <w:vAlign w:val="top"/>
          </w:tcPr>
          <w:p>
            <w:pPr>
              <w:spacing w:after="0" w:line="226" w:lineRule="auto"/>
            </w:pPr>
            <w:r>
              <w:rPr>
                <w:rFonts w:ascii="Times New Roman" w:hAnsi="Times New Roman"/>
                <w:sz w:val="13"/>
              </w:rPr>
              <w:t>Num. 26:22</w:t>
            </w:r>
          </w:p>
        </w:tc>
        <w:tc>
          <w:tcPr>
            <w:tcW w:type="dxa" w:w="3561"/>
            <w:vAlign w:val="top"/>
          </w:tcPr>
          <w:p>
            <w:pPr>
              <w:spacing w:after="0" w:line="226" w:lineRule="auto"/>
            </w:pPr>
            <w:r>
              <w:rPr>
                <w:rFonts w:ascii="Times New Roman" w:hAnsi="Times New Roman"/>
                <w:sz w:val="13"/>
              </w:rPr>
              <w:t>Judah 76,500</w:t>
            </w:r>
          </w:p>
        </w:tc>
        <w:tc>
          <w:tcPr>
            <w:tcW w:type="dxa" w:w="3561"/>
            <w:vAlign w:val="top"/>
          </w:tcPr>
          <w:p>
            <w:pPr>
              <w:spacing w:after="0" w:line="226" w:lineRule="auto"/>
            </w:pPr>
            <w:r>
              <w:rPr>
                <w:rFonts w:ascii="Times New Roman" w:hAnsi="Times New Roman"/>
                <w:sz w:val="13"/>
              </w:rPr>
              <w:t>Up 1,900.</w:t>
            </w:r>
          </w:p>
        </w:tc>
      </w:tr>
      <w:tr>
        <w:tc>
          <w:tcPr>
            <w:tcW w:type="dxa" w:w="3561"/>
            <w:vAlign w:val="top"/>
          </w:tcPr>
          <w:p>
            <w:pPr>
              <w:spacing w:after="0" w:line="226" w:lineRule="auto"/>
            </w:pPr>
            <w:r>
              <w:rPr>
                <w:rFonts w:ascii="Times New Roman" w:hAnsi="Times New Roman"/>
                <w:sz w:val="13"/>
              </w:rPr>
              <w:t>Num. 26:33</w:t>
            </w:r>
          </w:p>
        </w:tc>
        <w:tc>
          <w:tcPr>
            <w:tcW w:type="dxa" w:w="3561"/>
            <w:vAlign w:val="top"/>
          </w:tcPr>
          <w:p>
            <w:pPr>
              <w:spacing w:after="0" w:line="226" w:lineRule="auto"/>
            </w:pPr>
            <w:r>
              <w:rPr>
                <w:rFonts w:ascii="Times New Roman" w:hAnsi="Times New Roman"/>
                <w:sz w:val="13"/>
              </w:rPr>
              <w:t>Zelophehad’s five daughters</w:t>
            </w:r>
          </w:p>
        </w:tc>
        <w:tc>
          <w:tcPr>
            <w:tcW w:type="dxa" w:w="3561"/>
            <w:vAlign w:val="top"/>
          </w:tcPr>
          <w:p>
            <w:pPr>
              <w:spacing w:after="0" w:line="226" w:lineRule="auto"/>
            </w:pPr>
            <w:r>
              <w:rPr>
                <w:rFonts w:ascii="Times New Roman" w:hAnsi="Times New Roman"/>
                <w:sz w:val="13"/>
              </w:rPr>
              <w:t>Sets up ch. 27 inheritance case.</w:t>
            </w:r>
          </w:p>
        </w:tc>
      </w:tr>
      <w:tr>
        <w:tc>
          <w:tcPr>
            <w:tcW w:type="dxa" w:w="3561"/>
            <w:vAlign w:val="top"/>
          </w:tcPr>
          <w:p>
            <w:pPr>
              <w:spacing w:after="0" w:line="226" w:lineRule="auto"/>
            </w:pPr>
            <w:r>
              <w:rPr>
                <w:rFonts w:ascii="Times New Roman" w:hAnsi="Times New Roman"/>
                <w:sz w:val="13"/>
              </w:rPr>
              <w:t>Num. 26:34</w:t>
            </w:r>
          </w:p>
        </w:tc>
        <w:tc>
          <w:tcPr>
            <w:tcW w:type="dxa" w:w="3561"/>
            <w:vAlign w:val="top"/>
          </w:tcPr>
          <w:p>
            <w:pPr>
              <w:spacing w:after="0" w:line="226" w:lineRule="auto"/>
            </w:pPr>
            <w:r>
              <w:rPr>
                <w:rFonts w:ascii="Times New Roman" w:hAnsi="Times New Roman"/>
                <w:sz w:val="13"/>
              </w:rPr>
              <w:t>Manasseh 52,700</w:t>
            </w:r>
          </w:p>
        </w:tc>
        <w:tc>
          <w:tcPr>
            <w:tcW w:type="dxa" w:w="3561"/>
            <w:vAlign w:val="top"/>
          </w:tcPr>
          <w:p>
            <w:pPr>
              <w:spacing w:after="0" w:line="226" w:lineRule="auto"/>
            </w:pPr>
            <w:r>
              <w:rPr>
                <w:rFonts w:ascii="Times New Roman" w:hAnsi="Times New Roman"/>
                <w:sz w:val="13"/>
              </w:rPr>
              <w:t>Large increase from 32,200.</w:t>
            </w:r>
          </w:p>
        </w:tc>
      </w:tr>
      <w:tr>
        <w:tc>
          <w:tcPr>
            <w:tcW w:type="dxa" w:w="3561"/>
            <w:vAlign w:val="top"/>
          </w:tcPr>
          <w:p>
            <w:pPr>
              <w:spacing w:after="0" w:line="226" w:lineRule="auto"/>
            </w:pPr>
            <w:r>
              <w:rPr>
                <w:rFonts w:ascii="Times New Roman" w:hAnsi="Times New Roman"/>
                <w:sz w:val="13"/>
              </w:rPr>
              <w:t>Num. 26:37</w:t>
            </w:r>
          </w:p>
        </w:tc>
        <w:tc>
          <w:tcPr>
            <w:tcW w:type="dxa" w:w="3561"/>
            <w:vAlign w:val="top"/>
          </w:tcPr>
          <w:p>
            <w:pPr>
              <w:spacing w:after="0" w:line="226" w:lineRule="auto"/>
            </w:pPr>
            <w:r>
              <w:rPr>
                <w:rFonts w:ascii="Times New Roman" w:hAnsi="Times New Roman"/>
                <w:sz w:val="13"/>
              </w:rPr>
              <w:t>Ephraim 32,500</w:t>
            </w:r>
          </w:p>
        </w:tc>
        <w:tc>
          <w:tcPr>
            <w:tcW w:type="dxa" w:w="3561"/>
            <w:vAlign w:val="top"/>
          </w:tcPr>
          <w:p>
            <w:pPr>
              <w:spacing w:after="0" w:line="226" w:lineRule="auto"/>
            </w:pPr>
            <w:r>
              <w:rPr>
                <w:rFonts w:ascii="Times New Roman" w:hAnsi="Times New Roman"/>
                <w:sz w:val="13"/>
              </w:rPr>
              <w:t>Decrease from 40,500.</w:t>
            </w:r>
          </w:p>
        </w:tc>
      </w:tr>
      <w:tr>
        <w:tc>
          <w:tcPr>
            <w:tcW w:type="dxa" w:w="3561"/>
            <w:vAlign w:val="top"/>
          </w:tcPr>
          <w:p>
            <w:pPr>
              <w:spacing w:after="0" w:line="226" w:lineRule="auto"/>
            </w:pPr>
            <w:r>
              <w:rPr>
                <w:rFonts w:ascii="Times New Roman" w:hAnsi="Times New Roman"/>
                <w:sz w:val="13"/>
              </w:rPr>
              <w:t>Num. 26:51</w:t>
            </w:r>
          </w:p>
        </w:tc>
        <w:tc>
          <w:tcPr>
            <w:tcW w:type="dxa" w:w="3561"/>
            <w:vAlign w:val="top"/>
          </w:tcPr>
          <w:p>
            <w:pPr>
              <w:spacing w:after="0" w:line="226" w:lineRule="auto"/>
            </w:pPr>
            <w:r>
              <w:rPr>
                <w:rFonts w:ascii="Times New Roman" w:hAnsi="Times New Roman"/>
                <w:sz w:val="13"/>
              </w:rPr>
              <w:t>601,730</w:t>
            </w:r>
          </w:p>
        </w:tc>
        <w:tc>
          <w:tcPr>
            <w:tcW w:type="dxa" w:w="3561"/>
            <w:vAlign w:val="top"/>
          </w:tcPr>
          <w:p>
            <w:pPr>
              <w:spacing w:after="0" w:line="226" w:lineRule="auto"/>
            </w:pPr>
            <w:r>
              <w:rPr>
                <w:rFonts w:ascii="Times New Roman" w:hAnsi="Times New Roman"/>
                <w:sz w:val="13"/>
              </w:rPr>
              <w:t>Second military total.</w:t>
            </w:r>
          </w:p>
        </w:tc>
      </w:tr>
      <w:tr>
        <w:tc>
          <w:tcPr>
            <w:tcW w:type="dxa" w:w="3561"/>
            <w:vAlign w:val="top"/>
          </w:tcPr>
          <w:p>
            <w:pPr>
              <w:spacing w:after="0" w:line="226" w:lineRule="auto"/>
            </w:pPr>
            <w:r>
              <w:rPr>
                <w:rFonts w:ascii="Times New Roman" w:hAnsi="Times New Roman"/>
                <w:sz w:val="13"/>
              </w:rPr>
              <w:t>Num. 1:46</w:t>
            </w:r>
          </w:p>
        </w:tc>
        <w:tc>
          <w:tcPr>
            <w:tcW w:type="dxa" w:w="3561"/>
            <w:vAlign w:val="top"/>
          </w:tcPr>
          <w:p>
            <w:pPr>
              <w:spacing w:after="0" w:line="226" w:lineRule="auto"/>
            </w:pPr>
            <w:r>
              <w:rPr>
                <w:rFonts w:ascii="Times New Roman" w:hAnsi="Times New Roman"/>
                <w:sz w:val="13"/>
              </w:rPr>
              <w:t>603,550</w:t>
            </w:r>
          </w:p>
        </w:tc>
        <w:tc>
          <w:tcPr>
            <w:tcW w:type="dxa" w:w="3561"/>
            <w:vAlign w:val="top"/>
          </w:tcPr>
          <w:p>
            <w:pPr>
              <w:spacing w:after="0" w:line="226" w:lineRule="auto"/>
            </w:pPr>
            <w:r>
              <w:rPr>
                <w:rFonts w:ascii="Times New Roman" w:hAnsi="Times New Roman"/>
                <w:sz w:val="13"/>
              </w:rPr>
              <w:t>First military total; difference 1,820.</w:t>
            </w:r>
          </w:p>
        </w:tc>
      </w:tr>
      <w:tr>
        <w:tc>
          <w:tcPr>
            <w:tcW w:type="dxa" w:w="3561"/>
            <w:vAlign w:val="top"/>
          </w:tcPr>
          <w:p>
            <w:pPr>
              <w:spacing w:after="0" w:line="226" w:lineRule="auto"/>
            </w:pPr>
            <w:r>
              <w:rPr>
                <w:rFonts w:ascii="Times New Roman" w:hAnsi="Times New Roman"/>
                <w:sz w:val="13"/>
              </w:rPr>
              <w:t>Num. 26:54</w:t>
            </w:r>
          </w:p>
        </w:tc>
        <w:tc>
          <w:tcPr>
            <w:tcW w:type="dxa" w:w="3561"/>
            <w:vAlign w:val="top"/>
          </w:tcPr>
          <w:p>
            <w:pPr>
              <w:spacing w:after="0" w:line="226" w:lineRule="auto"/>
            </w:pPr>
            <w:r>
              <w:rPr>
                <w:rFonts w:ascii="Times New Roman" w:hAnsi="Times New Roman"/>
                <w:sz w:val="13"/>
              </w:rPr>
              <w:t>larger/larger; smaller/smaller</w:t>
            </w:r>
          </w:p>
        </w:tc>
        <w:tc>
          <w:tcPr>
            <w:tcW w:type="dxa" w:w="3561"/>
            <w:vAlign w:val="top"/>
          </w:tcPr>
          <w:p>
            <w:pPr>
              <w:spacing w:after="0" w:line="226" w:lineRule="auto"/>
            </w:pPr>
            <w:r>
              <w:rPr>
                <w:rFonts w:ascii="Times New Roman" w:hAnsi="Times New Roman"/>
                <w:sz w:val="13"/>
              </w:rPr>
              <w:t>Inheritance quantity proportional to numbers.</w:t>
            </w:r>
          </w:p>
        </w:tc>
      </w:tr>
      <w:tr>
        <w:tc>
          <w:tcPr>
            <w:tcW w:type="dxa" w:w="3561"/>
            <w:vAlign w:val="top"/>
          </w:tcPr>
          <w:p>
            <w:pPr>
              <w:spacing w:after="0" w:line="226" w:lineRule="auto"/>
            </w:pPr>
            <w:r>
              <w:rPr>
                <w:rFonts w:ascii="Times New Roman" w:hAnsi="Times New Roman"/>
                <w:sz w:val="13"/>
              </w:rPr>
              <w:t>Num. 26:55–56</w:t>
            </w:r>
          </w:p>
        </w:tc>
        <w:tc>
          <w:tcPr>
            <w:tcW w:type="dxa" w:w="3561"/>
            <w:vAlign w:val="top"/>
          </w:tcPr>
          <w:p>
            <w:pPr>
              <w:spacing w:after="0" w:line="226" w:lineRule="auto"/>
            </w:pPr>
            <w:r>
              <w:rPr>
                <w:rFonts w:ascii="Times New Roman" w:hAnsi="Times New Roman"/>
                <w:sz w:val="13"/>
              </w:rPr>
              <w:t>goral</w:t>
            </w:r>
          </w:p>
        </w:tc>
        <w:tc>
          <w:tcPr>
            <w:tcW w:type="dxa" w:w="3561"/>
            <w:vAlign w:val="top"/>
          </w:tcPr>
          <w:p>
            <w:pPr>
              <w:spacing w:after="0" w:line="226" w:lineRule="auto"/>
            </w:pPr>
            <w:r>
              <w:rPr>
                <w:rFonts w:ascii="Times New Roman" w:hAnsi="Times New Roman"/>
                <w:sz w:val="13"/>
              </w:rPr>
              <w:t>Lot determines tribal allocation; mechanism unstated.</w:t>
            </w:r>
          </w:p>
        </w:tc>
      </w:tr>
      <w:tr>
        <w:tc>
          <w:tcPr>
            <w:tcW w:type="dxa" w:w="3561"/>
            <w:vAlign w:val="top"/>
          </w:tcPr>
          <w:p>
            <w:pPr>
              <w:spacing w:after="0" w:line="226" w:lineRule="auto"/>
            </w:pPr>
            <w:r>
              <w:rPr>
                <w:rFonts w:ascii="Times New Roman" w:hAnsi="Times New Roman"/>
                <w:sz w:val="13"/>
              </w:rPr>
              <w:t>Num. 26:62</w:t>
            </w:r>
          </w:p>
        </w:tc>
        <w:tc>
          <w:tcPr>
            <w:tcW w:type="dxa" w:w="3561"/>
            <w:vAlign w:val="top"/>
          </w:tcPr>
          <w:p>
            <w:pPr>
              <w:spacing w:after="0" w:line="226" w:lineRule="auto"/>
            </w:pPr>
            <w:r>
              <w:rPr>
                <w:rFonts w:ascii="Times New Roman" w:hAnsi="Times New Roman"/>
                <w:sz w:val="13"/>
              </w:rPr>
              <w:t>Levites 23,000</w:t>
            </w:r>
          </w:p>
        </w:tc>
        <w:tc>
          <w:tcPr>
            <w:tcW w:type="dxa" w:w="3561"/>
            <w:vAlign w:val="top"/>
          </w:tcPr>
          <w:p>
            <w:pPr>
              <w:spacing w:after="0" w:line="226" w:lineRule="auto"/>
            </w:pPr>
            <w:r>
              <w:rPr>
                <w:rFonts w:ascii="Times New Roman" w:hAnsi="Times New Roman"/>
                <w:sz w:val="13"/>
              </w:rPr>
              <w:t>Males one month upward, separate census.</w:t>
            </w:r>
          </w:p>
        </w:tc>
      </w:tr>
      <w:tr>
        <w:tc>
          <w:tcPr>
            <w:tcW w:type="dxa" w:w="3561"/>
            <w:vAlign w:val="top"/>
          </w:tcPr>
          <w:p>
            <w:pPr>
              <w:spacing w:after="0" w:line="226" w:lineRule="auto"/>
            </w:pPr>
            <w:r>
              <w:rPr>
                <w:rFonts w:ascii="Times New Roman" w:hAnsi="Times New Roman"/>
                <w:sz w:val="13"/>
              </w:rPr>
              <w:t>Num. 26:64–65</w:t>
            </w:r>
          </w:p>
        </w:tc>
        <w:tc>
          <w:tcPr>
            <w:tcW w:type="dxa" w:w="3561"/>
            <w:vAlign w:val="top"/>
          </w:tcPr>
          <w:p>
            <w:pPr>
              <w:spacing w:after="0" w:line="226" w:lineRule="auto"/>
            </w:pPr>
            <w:r>
              <w:rPr>
                <w:rFonts w:ascii="Times New Roman" w:hAnsi="Times New Roman"/>
                <w:sz w:val="13"/>
              </w:rPr>
              <w:t>Caleb and Joshua</w:t>
            </w:r>
          </w:p>
        </w:tc>
        <w:tc>
          <w:tcPr>
            <w:tcW w:type="dxa" w:w="3561"/>
            <w:vAlign w:val="top"/>
          </w:tcPr>
          <w:p>
            <w:pPr>
              <w:spacing w:after="0" w:line="226" w:lineRule="auto"/>
            </w:pPr>
            <w:r>
              <w:rPr>
                <w:rFonts w:ascii="Times New Roman" w:hAnsi="Times New Roman"/>
                <w:sz w:val="13"/>
              </w:rPr>
              <w:t>Only survivors among earlier general military census cohort.</w:t>
            </w:r>
          </w:p>
        </w:tc>
      </w:tr>
      <w:tr>
        <w:tc>
          <w:tcPr>
            <w:tcW w:type="dxa" w:w="3561"/>
            <w:vAlign w:val="top"/>
          </w:tcPr>
          <w:p>
            <w:pPr>
              <w:spacing w:after="0" w:line="226" w:lineRule="auto"/>
            </w:pPr>
            <w:r>
              <w:rPr>
                <w:rFonts w:ascii="Times New Roman" w:hAnsi="Times New Roman"/>
                <w:sz w:val="13"/>
              </w:rPr>
              <w:t>Genealogy differences</w:t>
            </w:r>
          </w:p>
        </w:tc>
        <w:tc>
          <w:tcPr>
            <w:tcW w:type="dxa" w:w="3561"/>
            <w:vAlign w:val="top"/>
          </w:tcPr>
          <w:p>
            <w:pPr>
              <w:spacing w:after="0" w:line="226" w:lineRule="auto"/>
            </w:pPr>
            <w:r>
              <w:rPr>
                <w:rFonts w:ascii="Times New Roman" w:hAnsi="Times New Roman"/>
                <w:sz w:val="13"/>
              </w:rPr>
              <w:t>stage-specific family/clan lists</w:t>
            </w:r>
          </w:p>
        </w:tc>
        <w:tc>
          <w:tcPr>
            <w:tcW w:type="dxa" w:w="3561"/>
            <w:vAlign w:val="top"/>
          </w:tcPr>
          <w:p>
            <w:pPr>
              <w:spacing w:after="0" w:line="226" w:lineRule="auto"/>
            </w:pPr>
            <w:r>
              <w:rPr>
                <w:rFonts w:ascii="Times New Roman" w:hAnsi="Times New Roman"/>
                <w:sz w:val="13"/>
              </w:rPr>
              <w:t>Do not force every variant into speculative aliases.</w:t>
            </w:r>
          </w:p>
        </w:tc>
      </w:tr>
    </w:tbl>
    <w:p>
      <w:pPr>
        <w:pStyle w:val="Heading1"/>
      </w:pPr>
      <w:r>
        <w:t>RESIDUAL UNCERTAINTIES</w:t>
      </w:r>
    </w:p>
    <w:p>
      <w:pPr/>
      <w:r>
        <w:rPr>
          <w:i w:val="0"/>
        </w:rPr>
        <w:t>The mechanics of the land lot and several genealogical name relationships are not explained. The census comparison must keep unlike populations separate: the 601,730 total is fighting-age Israel, while the 23,000 Levites are counted from one month old. Mansfield’s proposed physical lot procedure is not treated as established.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