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27</w:t>
      </w:r>
    </w:p>
    <w:p>
      <w:pPr>
        <w:pStyle w:val="Subtitle"/>
      </w:pPr>
      <w:r>
        <w:t>ZELOPHEHAD’S DAUGHTERS • INHERITANCE PRESERVED • MOSES SEEKS YAHWEH’S RULING • ABARIM • MERIBAH REMEMBERED • “SHEEP WHICH HAVE NO SHEPHERD” • JOSHUA APPOINTED</w:t>
      </w:r>
    </w:p>
    <w:p>
      <w:pPr/>
      <w:r>
        <w:rPr>
          <w:i/>
        </w:rPr>
        <w:t>H. P. Mansfield Bible notes — checked and arranged in verse-by-verse Expositor style</w:t>
      </w:r>
    </w:p>
    <w:p>
      <w:pPr/>
      <w:r>
        <w:rPr>
          <w:i w:val="0"/>
        </w:rPr>
        <w:t>Source: HPB 03-Lev12-Num36.PDF, mainly pp. 81–82; cross-checked with Mansfield’s Numbers Expositor Chapter 27 and Deuteronomy 34.</w:t>
      </w:r>
    </w:p>
    <w:p>
      <w:pPr>
        <w:pStyle w:val="Heading1"/>
      </w:pPr>
      <w:r>
        <w:t>CHAPTER OVERVIEW</w:t>
      </w:r>
    </w:p>
    <w:p>
      <w:pPr/>
      <w:r>
        <w:rPr>
          <w:i w:val="0"/>
        </w:rPr>
        <w:t>Numbers 27 secures both inheritance and leadership for the generation about to enter the land. A genuine legal difficulty is brought before Yahweh rather than settled by assumption, and the daughters of Zelophehad receive their father’s inheritance.</w:t>
      </w:r>
    </w:p>
    <w:p>
      <w:pPr/>
      <w:r>
        <w:rPr>
          <w:i w:val="0"/>
        </w:rPr>
        <w:t>The second half turns from family inheritance to national continuity. Moses is told his death is approaching; his immediate concern is that Yahweh appoint a shepherd for the congregation. Joshua is publicly commissioned under Divine authority.</w:t>
      </w:r>
    </w:p>
    <w:p>
      <w:pPr>
        <w:pStyle w:val="Heading1"/>
      </w:pPr>
      <w:r>
        <w:t>THE DAUGHTERS OF ZELOPHEHAD — NUMBERS 27:1–5</w:t>
      </w:r>
    </w:p>
    <w:p>
      <w:pPr>
        <w:pStyle w:val="Heading2"/>
      </w:pPr>
      <w:r>
        <w:t>Numbers 27:1 — five daughters approach publicly</w:t>
      </w:r>
    </w:p>
    <w:p>
      <w:pPr/>
      <w:r>
        <w:rPr>
          <w:i w:val="0"/>
        </w:rPr>
        <w:t>Mahlah, Noah, Hoglah, Milcah and Tirzah, daughters of Zelophehad of Manasseh, stand before Moses, Eleazar, the princes and the congregation at the Tent entrance.</w:t>
      </w:r>
    </w:p>
    <w:p>
      <w:pPr/>
      <w:r>
        <w:rPr>
          <w:i w:val="0"/>
        </w:rPr>
        <w:t>The case is presented openly within Israel’s covenant administration.</w:t>
      </w:r>
    </w:p>
    <w:p>
      <w:pPr>
        <w:pStyle w:val="Heading2"/>
      </w:pPr>
      <w:r>
        <w:t>Numbers 27:2–4 — preserving their father’s name</w:t>
      </w:r>
    </w:p>
    <w:p>
      <w:pPr/>
      <w:r>
        <w:rPr>
          <w:i w:val="0"/>
        </w:rPr>
        <w:t>They state that their father died in the wilderness, was not among Korah’s rebellious company, and died “in his own sin,” leaving no sons. They ask why his name should disappear from his clan for lack of a son.</w:t>
      </w:r>
    </w:p>
    <w:p>
      <w:pPr/>
      <w:r>
        <w:rPr>
          <w:i w:val="0"/>
        </w:rPr>
        <w:t>“His own sin” need not mean an otherwise unknown notorious offence; it distinguishes his death from Korah’s organised rebellion and places him within the condemned mortal generation.</w:t>
      </w:r>
    </w:p>
    <w:p>
      <w:pPr>
        <w:pStyle w:val="Heading2"/>
      </w:pPr>
      <w:r>
        <w:t>Numbers 27:5 — Moses brings the cause before Yahweh</w:t>
      </w:r>
    </w:p>
    <w:p>
      <w:pPr/>
      <w:r>
        <w:rPr>
          <w:i w:val="0"/>
        </w:rPr>
        <w:t>Moses does not improvise a legal ruling. He brings their mishpat/case before Yahweh.</w:t>
      </w:r>
    </w:p>
    <w:p>
      <w:pPr/>
      <w:r>
        <w:rPr>
          <w:i w:val="0"/>
        </w:rPr>
        <w:t>The chapter therefore provides a model of seeking revealed judgment when an existing law does not settle a genuine new circumstance.</w:t>
      </w:r>
    </w:p>
    <w:p>
      <w:pPr>
        <w:pStyle w:val="Heading1"/>
      </w:pPr>
      <w:r>
        <w:t>THE LAW OF INHERITANCE — NUMBERS 27:6–11</w:t>
      </w:r>
    </w:p>
    <w:p>
      <w:pPr>
        <w:pStyle w:val="Heading2"/>
      </w:pPr>
      <w:r>
        <w:t>Numbers 27:6–7 — “the daughters … speak right”</w:t>
      </w:r>
    </w:p>
    <w:p>
      <w:pPr/>
      <w:r>
        <w:rPr>
          <w:i w:val="0"/>
        </w:rPr>
        <w:t>Yahweh declares the women’s plea right and commands that their father’s inheritance pass to them among his brethren.</w:t>
      </w:r>
    </w:p>
    <w:p>
      <w:pPr/>
      <w:r>
        <w:rPr>
          <w:i w:val="0"/>
        </w:rPr>
        <w:t>The ruling protects both the women and the continuing identity of their father’s house.</w:t>
      </w:r>
    </w:p>
    <w:p>
      <w:pPr>
        <w:pStyle w:val="Heading2"/>
      </w:pPr>
      <w:r>
        <w:t>Numbers 27:8–11 — succession order</w:t>
      </w:r>
    </w:p>
    <w:p>
      <w:pPr/>
      <w:r>
        <w:rPr>
          <w:i w:val="0"/>
        </w:rPr>
        <w:t>A general succession rule is established: if a man dies without a son, inheritance passes to his daughter; if no daughter, to brothers; if no brothers, to the father’s brothers; if none, to the nearest relative within the family.</w:t>
      </w:r>
    </w:p>
    <w:p>
      <w:pPr/>
      <w:r>
        <w:rPr>
          <w:i w:val="0"/>
        </w:rPr>
        <w:t>Numbers 36 later adds a tribal-marriage safeguard for heiresses so territorial inheritance does not migrate permanently between tribes.</w:t>
      </w:r>
    </w:p>
    <w:p>
      <w:pPr>
        <w:pStyle w:val="Heading1"/>
      </w:pPr>
      <w:r>
        <w:t>MOSES SHOWN THE LAND — NUMBERS 27:12–14</w:t>
      </w:r>
    </w:p>
    <w:p>
      <w:pPr>
        <w:pStyle w:val="Heading2"/>
      </w:pPr>
      <w:r>
        <w:t>Numbers 27:12 — mountain of Abarim</w:t>
      </w:r>
    </w:p>
    <w:p>
      <w:pPr/>
      <w:r>
        <w:rPr>
          <w:i w:val="0"/>
        </w:rPr>
        <w:t>Yahweh tells Moses to ascend “this mount Abarim” and see the land given to Israel.</w:t>
      </w:r>
    </w:p>
    <w:p>
      <w:pPr/>
      <w:r>
        <w:rPr>
          <w:i w:val="0"/>
        </w:rPr>
        <w:t>Numbers 27 does not yet identify the particular summit as Nebo. Deuteronomy 34 later names Mount Nebo and the top of Pisgah, so “Nebo” should not be silently inserted into verse 12.</w:t>
      </w:r>
    </w:p>
    <w:p>
      <w:pPr>
        <w:pStyle w:val="Heading2"/>
      </w:pPr>
      <w:r>
        <w:t>Numbers 27:13 — gathered unto thy people</w:t>
      </w:r>
    </w:p>
    <w:p>
      <w:pPr/>
      <w:r>
        <w:rPr>
          <w:i w:val="0"/>
        </w:rPr>
        <w:t>After seeing the land Moses will be “gathered unto thy people,” as Aaron was.</w:t>
      </w:r>
    </w:p>
    <w:p>
      <w:pPr/>
      <w:r>
        <w:rPr>
          <w:i w:val="0"/>
        </w:rPr>
        <w:t>This is a death/ancestral idiom. It does not itself establish conscious immortal survival apart from resurrection.</w:t>
      </w:r>
    </w:p>
    <w:p>
      <w:pPr>
        <w:pStyle w:val="Heading2"/>
      </w:pPr>
      <w:r>
        <w:t>Numbers 27:14 — Meribah still governs the sentence</w:t>
      </w:r>
    </w:p>
    <w:p>
      <w:pPr/>
      <w:r>
        <w:rPr>
          <w:i w:val="0"/>
        </w:rPr>
        <w:t>Moses and Aaron rebelled against Yahweh’s command in the wilderness of Zin and failed to sanctify Him at the waters of Meribah.</w:t>
      </w:r>
    </w:p>
    <w:p>
      <w:pPr/>
      <w:r>
        <w:rPr>
          <w:i w:val="0"/>
        </w:rPr>
        <w:t>The text again confirms that privilege and long service do not cancel accountability.</w:t>
      </w:r>
    </w:p>
    <w:p>
      <w:pPr>
        <w:pStyle w:val="Heading1"/>
      </w:pPr>
      <w:r>
        <w:t>MOSES ASKS FOR A SHEPHERD — NUMBERS 27:15–17</w:t>
      </w:r>
    </w:p>
    <w:p>
      <w:pPr>
        <w:pStyle w:val="Heading2"/>
      </w:pPr>
      <w:r>
        <w:t>Numbers 27:15–16 — God of the spirits of all flesh</w:t>
      </w:r>
    </w:p>
    <w:p>
      <w:pPr/>
      <w:r>
        <w:rPr>
          <w:i w:val="0"/>
        </w:rPr>
        <w:t>Moses addresses Yahweh as “the God of the spirits of all flesh” and asks Him to appoint a man over the congregation.</w:t>
      </w:r>
    </w:p>
    <w:p>
      <w:pPr/>
      <w:r>
        <w:rPr>
          <w:i w:val="0"/>
        </w:rPr>
        <w:t>Ruach can denote spirit/breath/life-disposition. The title presents Yahweh as sovereign over the life/spirit of all flesh; it is not a proof-text for inherently immortal human souls.</w:t>
      </w:r>
    </w:p>
    <w:p>
      <w:pPr>
        <w:pStyle w:val="Heading2"/>
      </w:pPr>
      <w:r>
        <w:t>Numbers 27:17 — “sheep which have no shepherd”</w:t>
      </w:r>
    </w:p>
    <w:p>
      <w:pPr/>
      <w:r>
        <w:rPr>
          <w:i w:val="0"/>
        </w:rPr>
        <w:t>The successor must go out and come in before the people, lead them out and bring them in, so Yahweh’s congregation is not as sheep without a shepherd.</w:t>
      </w:r>
    </w:p>
    <w:p>
      <w:pPr/>
      <w:r>
        <w:rPr>
          <w:i w:val="0"/>
        </w:rPr>
        <w:t>This shepherd language is later echoed in passages such as Matthew 9:36 and Mark 6:34 and gives Mansfield’s pastoral emphasis strong biblical support.</w:t>
      </w:r>
    </w:p>
    <w:p>
      <w:pPr>
        <w:pStyle w:val="Heading1"/>
      </w:pPr>
      <w:r>
        <w:t>JOSHUA COMMISSIONED — NUMBERS 27:18–23</w:t>
      </w:r>
    </w:p>
    <w:p>
      <w:pPr>
        <w:pStyle w:val="Heading2"/>
      </w:pPr>
      <w:r>
        <w:t>Numbers 27:18 — “a man in whom is the spirit”</w:t>
      </w:r>
    </w:p>
    <w:p>
      <w:pPr/>
      <w:r>
        <w:rPr>
          <w:i w:val="0"/>
        </w:rPr>
        <w:t>Yahweh selects Joshua son of Nun, “a man in whom is the spirit,” and tells Moses to lay his hand upon him.</w:t>
      </w:r>
    </w:p>
    <w:p>
      <w:pPr/>
      <w:r>
        <w:rPr>
          <w:i w:val="0"/>
        </w:rPr>
        <w:t>Deuteronomy 34:9 later says Joshua was full of the spirit of wisdom because Moses had laid his hands upon him.</w:t>
      </w:r>
    </w:p>
    <w:p>
      <w:pPr>
        <w:pStyle w:val="Heading2"/>
      </w:pPr>
      <w:r>
        <w:t>Numbers 27:19–20 — public charge and transferred honour</w:t>
      </w:r>
    </w:p>
    <w:p>
      <w:pPr/>
      <w:r>
        <w:rPr>
          <w:i w:val="0"/>
        </w:rPr>
        <w:t>Joshua is set before Eleazar and the congregation and publicly charged. Moses is to put min-hodek, from/of his hod—honour, majesty or authority—upon Joshua so that Israel will obey.</w:t>
      </w:r>
    </w:p>
    <w:p>
      <w:pPr/>
      <w:r>
        <w:rPr>
          <w:i w:val="0"/>
        </w:rPr>
        <w:t>KJV “some of thine honour” conveys partial transfer well: Joshua truly succeeds Moses but is not simply another Moses with identical revelatory status.</w:t>
      </w:r>
    </w:p>
    <w:p>
      <w:pPr>
        <w:pStyle w:val="Heading2"/>
      </w:pPr>
      <w:r>
        <w:t>Numbers 27:21 — Eleazar and the judgment of Urim</w:t>
      </w:r>
    </w:p>
    <w:p>
      <w:pPr/>
      <w:r>
        <w:rPr>
          <w:i w:val="0"/>
        </w:rPr>
        <w:t>Joshua is to stand before Eleazar, who enquires for him by the judgment of the Urim before Yahweh. At that word Israel goes out and comes in.</w:t>
      </w:r>
    </w:p>
    <w:p>
      <w:pPr/>
      <w:r>
        <w:rPr>
          <w:i w:val="0"/>
        </w:rPr>
        <w:t>Leadership therefore remains dependent upon revelation. Deuteronomy 34:10 later distinguishes Moses as the prophet whom Yahweh knew face to face.</w:t>
      </w:r>
    </w:p>
    <w:p>
      <w:pPr>
        <w:pStyle w:val="Heading2"/>
      </w:pPr>
      <w:r>
        <w:t>Numbers 27:22–23 — Moses obeys</w:t>
      </w:r>
    </w:p>
    <w:p>
      <w:pPr/>
      <w:r>
        <w:rPr>
          <w:i w:val="0"/>
        </w:rPr>
        <w:t>Moses lays hands upon Joshua and gives him the charge as Yahweh commanded.</w:t>
      </w:r>
    </w:p>
    <w:p>
      <w:pPr/>
      <w:r>
        <w:rPr>
          <w:i w:val="0"/>
        </w:rPr>
        <w:t>The succession is public Divine appointment, the opposite of Korah-style self-advancement.</w:t>
      </w:r>
    </w:p>
    <w:p>
      <w:pPr>
        <w:pStyle w:val="Heading1"/>
      </w:pPr>
      <w:r>
        <w:t>PRINCIPAL THEMES</w:t>
      </w:r>
    </w:p>
    <w:p>
      <w:pPr>
        <w:ind w:left="259" w:hanging="202"/>
      </w:pPr>
      <w:r>
        <w:rPr>
          <w:b/>
        </w:rPr>
        <w:t xml:space="preserve">• </w:t>
      </w:r>
      <w:r>
        <w:t>A genuine inheritance problem is taken to Yahweh rather than solved by convenience.</w:t>
      </w:r>
    </w:p>
    <w:p>
      <w:pPr>
        <w:ind w:left="259" w:hanging="202"/>
      </w:pPr>
      <w:r>
        <w:rPr>
          <w:b/>
        </w:rPr>
        <w:t xml:space="preserve">• </w:t>
      </w:r>
      <w:r>
        <w:t>Zelophehad’s daughters are judged right, and their father’s inheritance is preserved through them.</w:t>
      </w:r>
    </w:p>
    <w:p>
      <w:pPr>
        <w:ind w:left="259" w:hanging="202"/>
      </w:pPr>
      <w:r>
        <w:rPr>
          <w:b/>
        </w:rPr>
        <w:t xml:space="preserve">• </w:t>
      </w:r>
      <w:r>
        <w:t>“Died in his own sin” does not require invention of a particular secret offence.</w:t>
      </w:r>
    </w:p>
    <w:p>
      <w:pPr>
        <w:ind w:left="259" w:hanging="202"/>
      </w:pPr>
      <w:r>
        <w:rPr>
          <w:b/>
        </w:rPr>
        <w:t xml:space="preserve">• </w:t>
      </w:r>
      <w:r>
        <w:t>Numbers 27 says Abarim; Nebo is identified later in Deuteronomy.</w:t>
      </w:r>
    </w:p>
    <w:p>
      <w:pPr>
        <w:ind w:left="259" w:hanging="202"/>
      </w:pPr>
      <w:r>
        <w:rPr>
          <w:b/>
        </w:rPr>
        <w:t xml:space="preserve">• </w:t>
      </w:r>
      <w:r>
        <w:t>“Gathered to his people” is a death idiom, not proof of immortal consciousness.</w:t>
      </w:r>
    </w:p>
    <w:p>
      <w:pPr>
        <w:ind w:left="259" w:hanging="202"/>
      </w:pPr>
      <w:r>
        <w:rPr>
          <w:b/>
        </w:rPr>
        <w:t xml:space="preserve">• </w:t>
      </w:r>
      <w:r>
        <w:t>Yahweh is God of the spirits of all flesh, sovereign over mortal life and spirit.</w:t>
      </w:r>
    </w:p>
    <w:p>
      <w:pPr>
        <w:ind w:left="259" w:hanging="202"/>
      </w:pPr>
      <w:r>
        <w:rPr>
          <w:b/>
        </w:rPr>
        <w:t xml:space="preserve">• </w:t>
      </w:r>
      <w:r>
        <w:t>Moses’ concern is that Israel not become sheep without a shepherd.</w:t>
      </w:r>
    </w:p>
    <w:p>
      <w:pPr>
        <w:ind w:left="259" w:hanging="202"/>
      </w:pPr>
      <w:r>
        <w:rPr>
          <w:b/>
        </w:rPr>
        <w:t xml:space="preserve">• </w:t>
      </w:r>
      <w:r>
        <w:t>Joshua is chosen because the spirit is in him and is commissioned publicly.</w:t>
      </w:r>
    </w:p>
    <w:p>
      <w:pPr>
        <w:ind w:left="259" w:hanging="202"/>
      </w:pPr>
      <w:r>
        <w:rPr>
          <w:b/>
        </w:rPr>
        <w:t xml:space="preserve">• </w:t>
      </w:r>
      <w:r>
        <w:t>`hod` denotes honour/majesty/authority; Joshua receives from Moses’ authority but is not identical to him.</w:t>
      </w:r>
    </w:p>
    <w:p>
      <w:pPr>
        <w:ind w:left="259" w:hanging="202"/>
      </w:pPr>
      <w:r>
        <w:rPr>
          <w:b/>
        </w:rPr>
        <w:t xml:space="preserve">• </w:t>
      </w:r>
      <w:r>
        <w:t>Joshua is to depend upon priestly enquiry through Urim, preserving dependence on Yahweh.</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6" w:lineRule="auto"/>
            </w:pPr>
            <w:r>
              <w:rPr>
                <w:rFonts w:ascii="Times New Roman" w:hAnsi="Times New Roman"/>
                <w:sz w:val="13"/>
              </w:rPr>
              <w:t>Num. 27:1</w:t>
            </w:r>
          </w:p>
        </w:tc>
        <w:tc>
          <w:tcPr>
            <w:tcW w:type="dxa" w:w="3561"/>
            <w:vAlign w:val="top"/>
          </w:tcPr>
          <w:p>
            <w:pPr>
              <w:spacing w:after="0" w:line="226" w:lineRule="auto"/>
            </w:pPr>
            <w:r>
              <w:rPr>
                <w:rFonts w:ascii="Times New Roman" w:hAnsi="Times New Roman"/>
                <w:sz w:val="13"/>
              </w:rPr>
              <w:t>five daughters</w:t>
            </w:r>
          </w:p>
        </w:tc>
        <w:tc>
          <w:tcPr>
            <w:tcW w:type="dxa" w:w="3561"/>
            <w:vAlign w:val="top"/>
          </w:tcPr>
          <w:p>
            <w:pPr>
              <w:spacing w:after="0" w:line="226" w:lineRule="auto"/>
            </w:pPr>
            <w:r>
              <w:rPr>
                <w:rFonts w:ascii="Times New Roman" w:hAnsi="Times New Roman"/>
                <w:sz w:val="13"/>
              </w:rPr>
              <w:t>Mahlah, Noah, Hoglah, Milcah, Tirzah.</w:t>
            </w:r>
          </w:p>
        </w:tc>
      </w:tr>
      <w:tr>
        <w:tc>
          <w:tcPr>
            <w:tcW w:type="dxa" w:w="3561"/>
            <w:vAlign w:val="top"/>
          </w:tcPr>
          <w:p>
            <w:pPr>
              <w:spacing w:after="0" w:line="226" w:lineRule="auto"/>
            </w:pPr>
            <w:r>
              <w:rPr>
                <w:rFonts w:ascii="Times New Roman" w:hAnsi="Times New Roman"/>
                <w:sz w:val="13"/>
              </w:rPr>
              <w:t>Num. 27:3</w:t>
            </w:r>
          </w:p>
        </w:tc>
        <w:tc>
          <w:tcPr>
            <w:tcW w:type="dxa" w:w="3561"/>
            <w:vAlign w:val="top"/>
          </w:tcPr>
          <w:p>
            <w:pPr>
              <w:spacing w:after="0" w:line="226" w:lineRule="auto"/>
            </w:pPr>
            <w:r>
              <w:rPr>
                <w:rFonts w:ascii="Times New Roman" w:hAnsi="Times New Roman"/>
                <w:sz w:val="13"/>
              </w:rPr>
              <w:t>not in Korah’s company</w:t>
            </w:r>
          </w:p>
        </w:tc>
        <w:tc>
          <w:tcPr>
            <w:tcW w:type="dxa" w:w="3561"/>
            <w:vAlign w:val="top"/>
          </w:tcPr>
          <w:p>
            <w:pPr>
              <w:spacing w:after="0" w:line="226" w:lineRule="auto"/>
            </w:pPr>
            <w:r>
              <w:rPr>
                <w:rFonts w:ascii="Times New Roman" w:hAnsi="Times New Roman"/>
                <w:sz w:val="13"/>
              </w:rPr>
              <w:t>Specific distinction from organised rebellion.</w:t>
            </w:r>
          </w:p>
        </w:tc>
      </w:tr>
      <w:tr>
        <w:tc>
          <w:tcPr>
            <w:tcW w:type="dxa" w:w="3561"/>
            <w:vAlign w:val="top"/>
          </w:tcPr>
          <w:p>
            <w:pPr>
              <w:spacing w:after="0" w:line="226" w:lineRule="auto"/>
            </w:pPr>
            <w:r>
              <w:rPr>
                <w:rFonts w:ascii="Times New Roman" w:hAnsi="Times New Roman"/>
                <w:sz w:val="13"/>
              </w:rPr>
              <w:t>Num. 27:3</w:t>
            </w:r>
          </w:p>
        </w:tc>
        <w:tc>
          <w:tcPr>
            <w:tcW w:type="dxa" w:w="3561"/>
            <w:vAlign w:val="top"/>
          </w:tcPr>
          <w:p>
            <w:pPr>
              <w:spacing w:after="0" w:line="226" w:lineRule="auto"/>
            </w:pPr>
            <w:r>
              <w:rPr>
                <w:rFonts w:ascii="Times New Roman" w:hAnsi="Times New Roman"/>
                <w:sz w:val="13"/>
              </w:rPr>
              <w:t>“his own sin”</w:t>
            </w:r>
          </w:p>
        </w:tc>
        <w:tc>
          <w:tcPr>
            <w:tcW w:type="dxa" w:w="3561"/>
            <w:vAlign w:val="top"/>
          </w:tcPr>
          <w:p>
            <w:pPr>
              <w:spacing w:after="0" w:line="226" w:lineRule="auto"/>
            </w:pPr>
            <w:r>
              <w:rPr>
                <w:rFonts w:ascii="Times New Roman" w:hAnsi="Times New Roman"/>
                <w:sz w:val="13"/>
              </w:rPr>
              <w:t>Ordinary personal/generational liability; exact offence not given.</w:t>
            </w:r>
          </w:p>
        </w:tc>
      </w:tr>
      <w:tr>
        <w:tc>
          <w:tcPr>
            <w:tcW w:type="dxa" w:w="3561"/>
            <w:vAlign w:val="top"/>
          </w:tcPr>
          <w:p>
            <w:pPr>
              <w:spacing w:after="0" w:line="226" w:lineRule="auto"/>
            </w:pPr>
            <w:r>
              <w:rPr>
                <w:rFonts w:ascii="Times New Roman" w:hAnsi="Times New Roman"/>
                <w:sz w:val="13"/>
              </w:rPr>
              <w:t>Num. 27:5</w:t>
            </w:r>
          </w:p>
        </w:tc>
        <w:tc>
          <w:tcPr>
            <w:tcW w:type="dxa" w:w="3561"/>
            <w:vAlign w:val="top"/>
          </w:tcPr>
          <w:p>
            <w:pPr>
              <w:spacing w:after="0" w:line="226" w:lineRule="auto"/>
            </w:pPr>
            <w:r>
              <w:rPr>
                <w:rFonts w:ascii="Times New Roman" w:hAnsi="Times New Roman"/>
                <w:sz w:val="13"/>
              </w:rPr>
              <w:t>Moses brings case before Yahweh</w:t>
            </w:r>
          </w:p>
        </w:tc>
        <w:tc>
          <w:tcPr>
            <w:tcW w:type="dxa" w:w="3561"/>
            <w:vAlign w:val="top"/>
          </w:tcPr>
          <w:p>
            <w:pPr>
              <w:spacing w:after="0" w:line="226" w:lineRule="auto"/>
            </w:pPr>
            <w:r>
              <w:rPr>
                <w:rFonts w:ascii="Times New Roman" w:hAnsi="Times New Roman"/>
                <w:sz w:val="13"/>
              </w:rPr>
              <w:t>No improvised ruling.</w:t>
            </w:r>
          </w:p>
        </w:tc>
      </w:tr>
      <w:tr>
        <w:tc>
          <w:tcPr>
            <w:tcW w:type="dxa" w:w="3561"/>
            <w:vAlign w:val="top"/>
          </w:tcPr>
          <w:p>
            <w:pPr>
              <w:spacing w:after="0" w:line="226" w:lineRule="auto"/>
            </w:pPr>
            <w:r>
              <w:rPr>
                <w:rFonts w:ascii="Times New Roman" w:hAnsi="Times New Roman"/>
                <w:sz w:val="13"/>
              </w:rPr>
              <w:t>Num. 27:7</w:t>
            </w:r>
          </w:p>
        </w:tc>
        <w:tc>
          <w:tcPr>
            <w:tcW w:type="dxa" w:w="3561"/>
            <w:vAlign w:val="top"/>
          </w:tcPr>
          <w:p>
            <w:pPr>
              <w:spacing w:after="0" w:line="226" w:lineRule="auto"/>
            </w:pPr>
            <w:r>
              <w:rPr>
                <w:rFonts w:ascii="Times New Roman" w:hAnsi="Times New Roman"/>
                <w:sz w:val="13"/>
              </w:rPr>
              <w:t>“speak right”</w:t>
            </w:r>
          </w:p>
        </w:tc>
        <w:tc>
          <w:tcPr>
            <w:tcW w:type="dxa" w:w="3561"/>
            <w:vAlign w:val="top"/>
          </w:tcPr>
          <w:p>
            <w:pPr>
              <w:spacing w:after="0" w:line="226" w:lineRule="auto"/>
            </w:pPr>
            <w:r>
              <w:rPr>
                <w:rFonts w:ascii="Times New Roman" w:hAnsi="Times New Roman"/>
                <w:sz w:val="13"/>
              </w:rPr>
              <w:t>Divine approval of daughters’ claim.</w:t>
            </w:r>
          </w:p>
        </w:tc>
      </w:tr>
      <w:tr>
        <w:tc>
          <w:tcPr>
            <w:tcW w:type="dxa" w:w="3561"/>
            <w:vAlign w:val="top"/>
          </w:tcPr>
          <w:p>
            <w:pPr>
              <w:spacing w:after="0" w:line="226" w:lineRule="auto"/>
            </w:pPr>
            <w:r>
              <w:rPr>
                <w:rFonts w:ascii="Times New Roman" w:hAnsi="Times New Roman"/>
                <w:sz w:val="13"/>
              </w:rPr>
              <w:t>Num. 27:8–11</w:t>
            </w:r>
          </w:p>
        </w:tc>
        <w:tc>
          <w:tcPr>
            <w:tcW w:type="dxa" w:w="3561"/>
            <w:vAlign w:val="top"/>
          </w:tcPr>
          <w:p>
            <w:pPr>
              <w:spacing w:after="0" w:line="226" w:lineRule="auto"/>
            </w:pPr>
            <w:r>
              <w:rPr>
                <w:rFonts w:ascii="Times New Roman" w:hAnsi="Times New Roman"/>
                <w:sz w:val="13"/>
              </w:rPr>
              <w:t>inheritance order</w:t>
            </w:r>
          </w:p>
        </w:tc>
        <w:tc>
          <w:tcPr>
            <w:tcW w:type="dxa" w:w="3561"/>
            <w:vAlign w:val="top"/>
          </w:tcPr>
          <w:p>
            <w:pPr>
              <w:spacing w:after="0" w:line="226" w:lineRule="auto"/>
            </w:pPr>
            <w:r>
              <w:rPr>
                <w:rFonts w:ascii="Times New Roman" w:hAnsi="Times New Roman"/>
                <w:sz w:val="13"/>
              </w:rPr>
              <w:t>Daughter, brothers, father’s brothers, nearest relative after sons.</w:t>
            </w:r>
          </w:p>
        </w:tc>
      </w:tr>
      <w:tr>
        <w:tc>
          <w:tcPr>
            <w:tcW w:type="dxa" w:w="3561"/>
            <w:vAlign w:val="top"/>
          </w:tcPr>
          <w:p>
            <w:pPr>
              <w:spacing w:after="0" w:line="226" w:lineRule="auto"/>
            </w:pPr>
            <w:r>
              <w:rPr>
                <w:rFonts w:ascii="Times New Roman" w:hAnsi="Times New Roman"/>
                <w:sz w:val="13"/>
              </w:rPr>
              <w:t>Num. 36</w:t>
            </w:r>
          </w:p>
        </w:tc>
        <w:tc>
          <w:tcPr>
            <w:tcW w:type="dxa" w:w="3561"/>
            <w:vAlign w:val="top"/>
          </w:tcPr>
          <w:p>
            <w:pPr>
              <w:spacing w:after="0" w:line="226" w:lineRule="auto"/>
            </w:pPr>
            <w:r>
              <w:rPr>
                <w:rFonts w:ascii="Times New Roman" w:hAnsi="Times New Roman"/>
                <w:sz w:val="13"/>
              </w:rPr>
              <w:t>tribal marriage safeguard</w:t>
            </w:r>
          </w:p>
        </w:tc>
        <w:tc>
          <w:tcPr>
            <w:tcW w:type="dxa" w:w="3561"/>
            <w:vAlign w:val="top"/>
          </w:tcPr>
          <w:p>
            <w:pPr>
              <w:spacing w:after="0" w:line="226" w:lineRule="auto"/>
            </w:pPr>
            <w:r>
              <w:rPr>
                <w:rFonts w:ascii="Times New Roman" w:hAnsi="Times New Roman"/>
                <w:sz w:val="13"/>
              </w:rPr>
              <w:t>Later qualification for heiresses.</w:t>
            </w:r>
          </w:p>
        </w:tc>
      </w:tr>
      <w:tr>
        <w:tc>
          <w:tcPr>
            <w:tcW w:type="dxa" w:w="3561"/>
            <w:vAlign w:val="top"/>
          </w:tcPr>
          <w:p>
            <w:pPr>
              <w:spacing w:after="0" w:line="226" w:lineRule="auto"/>
            </w:pPr>
            <w:r>
              <w:rPr>
                <w:rFonts w:ascii="Times New Roman" w:hAnsi="Times New Roman"/>
                <w:sz w:val="13"/>
              </w:rPr>
              <w:t>Num. 27:12</w:t>
            </w:r>
          </w:p>
        </w:tc>
        <w:tc>
          <w:tcPr>
            <w:tcW w:type="dxa" w:w="3561"/>
            <w:vAlign w:val="top"/>
          </w:tcPr>
          <w:p>
            <w:pPr>
              <w:spacing w:after="0" w:line="226" w:lineRule="auto"/>
            </w:pPr>
            <w:r>
              <w:rPr>
                <w:rFonts w:ascii="Times New Roman" w:hAnsi="Times New Roman"/>
                <w:sz w:val="13"/>
              </w:rPr>
              <w:t>Abarim</w:t>
            </w:r>
          </w:p>
        </w:tc>
        <w:tc>
          <w:tcPr>
            <w:tcW w:type="dxa" w:w="3561"/>
            <w:vAlign w:val="top"/>
          </w:tcPr>
          <w:p>
            <w:pPr>
              <w:spacing w:after="0" w:line="226" w:lineRule="auto"/>
            </w:pPr>
            <w:r>
              <w:rPr>
                <w:rFonts w:ascii="Times New Roman" w:hAnsi="Times New Roman"/>
                <w:sz w:val="13"/>
              </w:rPr>
              <w:t>Nebo not named until later account.</w:t>
            </w:r>
          </w:p>
        </w:tc>
      </w:tr>
      <w:tr>
        <w:tc>
          <w:tcPr>
            <w:tcW w:type="dxa" w:w="3561"/>
            <w:vAlign w:val="top"/>
          </w:tcPr>
          <w:p>
            <w:pPr>
              <w:spacing w:after="0" w:line="226" w:lineRule="auto"/>
            </w:pPr>
            <w:r>
              <w:rPr>
                <w:rFonts w:ascii="Times New Roman" w:hAnsi="Times New Roman"/>
                <w:sz w:val="13"/>
              </w:rPr>
              <w:t>Deut. 34:1</w:t>
            </w:r>
          </w:p>
        </w:tc>
        <w:tc>
          <w:tcPr>
            <w:tcW w:type="dxa" w:w="3561"/>
            <w:vAlign w:val="top"/>
          </w:tcPr>
          <w:p>
            <w:pPr>
              <w:spacing w:after="0" w:line="226" w:lineRule="auto"/>
            </w:pPr>
            <w:r>
              <w:rPr>
                <w:rFonts w:ascii="Times New Roman" w:hAnsi="Times New Roman"/>
                <w:sz w:val="13"/>
              </w:rPr>
              <w:t>Mount Nebo / Pisgah</w:t>
            </w:r>
          </w:p>
        </w:tc>
        <w:tc>
          <w:tcPr>
            <w:tcW w:type="dxa" w:w="3561"/>
            <w:vAlign w:val="top"/>
          </w:tcPr>
          <w:p>
            <w:pPr>
              <w:spacing w:after="0" w:line="226" w:lineRule="auto"/>
            </w:pPr>
            <w:r>
              <w:rPr>
                <w:rFonts w:ascii="Times New Roman" w:hAnsi="Times New Roman"/>
                <w:sz w:val="13"/>
              </w:rPr>
              <w:t>Later precise location.</w:t>
            </w:r>
          </w:p>
        </w:tc>
      </w:tr>
      <w:tr>
        <w:tc>
          <w:tcPr>
            <w:tcW w:type="dxa" w:w="3561"/>
            <w:vAlign w:val="top"/>
          </w:tcPr>
          <w:p>
            <w:pPr>
              <w:spacing w:after="0" w:line="226" w:lineRule="auto"/>
            </w:pPr>
            <w:r>
              <w:rPr>
                <w:rFonts w:ascii="Times New Roman" w:hAnsi="Times New Roman"/>
                <w:sz w:val="13"/>
              </w:rPr>
              <w:t>Num. 27:13</w:t>
            </w:r>
          </w:p>
        </w:tc>
        <w:tc>
          <w:tcPr>
            <w:tcW w:type="dxa" w:w="3561"/>
            <w:vAlign w:val="top"/>
          </w:tcPr>
          <w:p>
            <w:pPr>
              <w:spacing w:after="0" w:line="226" w:lineRule="auto"/>
            </w:pPr>
            <w:r>
              <w:rPr>
                <w:rFonts w:ascii="Times New Roman" w:hAnsi="Times New Roman"/>
                <w:sz w:val="13"/>
              </w:rPr>
              <w:t>gathered to people</w:t>
            </w:r>
          </w:p>
        </w:tc>
        <w:tc>
          <w:tcPr>
            <w:tcW w:type="dxa" w:w="3561"/>
            <w:vAlign w:val="top"/>
          </w:tcPr>
          <w:p>
            <w:pPr>
              <w:spacing w:after="0" w:line="226" w:lineRule="auto"/>
            </w:pPr>
            <w:r>
              <w:rPr>
                <w:rFonts w:ascii="Times New Roman" w:hAnsi="Times New Roman"/>
                <w:sz w:val="13"/>
              </w:rPr>
              <w:t>Death idiom.</w:t>
            </w:r>
          </w:p>
        </w:tc>
      </w:tr>
      <w:tr>
        <w:tc>
          <w:tcPr>
            <w:tcW w:type="dxa" w:w="3561"/>
            <w:vAlign w:val="top"/>
          </w:tcPr>
          <w:p>
            <w:pPr>
              <w:spacing w:after="0" w:line="226" w:lineRule="auto"/>
            </w:pPr>
            <w:r>
              <w:rPr>
                <w:rFonts w:ascii="Times New Roman" w:hAnsi="Times New Roman"/>
                <w:sz w:val="13"/>
              </w:rPr>
              <w:t>Num. 27:14</w:t>
            </w:r>
          </w:p>
        </w:tc>
        <w:tc>
          <w:tcPr>
            <w:tcW w:type="dxa" w:w="3561"/>
            <w:vAlign w:val="top"/>
          </w:tcPr>
          <w:p>
            <w:pPr>
              <w:spacing w:after="0" w:line="226" w:lineRule="auto"/>
            </w:pPr>
            <w:r>
              <w:rPr>
                <w:rFonts w:ascii="Times New Roman" w:hAnsi="Times New Roman"/>
                <w:sz w:val="13"/>
              </w:rPr>
              <w:t>Meribah</w:t>
            </w:r>
          </w:p>
        </w:tc>
        <w:tc>
          <w:tcPr>
            <w:tcW w:type="dxa" w:w="3561"/>
            <w:vAlign w:val="top"/>
          </w:tcPr>
          <w:p>
            <w:pPr>
              <w:spacing w:after="0" w:line="226" w:lineRule="auto"/>
            </w:pPr>
            <w:r>
              <w:rPr>
                <w:rFonts w:ascii="Times New Roman" w:hAnsi="Times New Roman"/>
                <w:sz w:val="13"/>
              </w:rPr>
              <w:t>Moses/Aaron failed to sanctify Yahweh.</w:t>
            </w:r>
          </w:p>
        </w:tc>
      </w:tr>
      <w:tr>
        <w:tc>
          <w:tcPr>
            <w:tcW w:type="dxa" w:w="3561"/>
            <w:vAlign w:val="top"/>
          </w:tcPr>
          <w:p>
            <w:pPr>
              <w:spacing w:after="0" w:line="226" w:lineRule="auto"/>
            </w:pPr>
            <w:r>
              <w:rPr>
                <w:rFonts w:ascii="Times New Roman" w:hAnsi="Times New Roman"/>
                <w:sz w:val="13"/>
              </w:rPr>
              <w:t>Num. 27:16</w:t>
            </w:r>
          </w:p>
        </w:tc>
        <w:tc>
          <w:tcPr>
            <w:tcW w:type="dxa" w:w="3561"/>
            <w:vAlign w:val="top"/>
          </w:tcPr>
          <w:p>
            <w:pPr>
              <w:spacing w:after="0" w:line="226" w:lineRule="auto"/>
            </w:pPr>
            <w:r>
              <w:rPr>
                <w:rFonts w:ascii="Times New Roman" w:hAnsi="Times New Roman"/>
                <w:sz w:val="13"/>
              </w:rPr>
              <w:t>God of spirits of all flesh</w:t>
            </w:r>
          </w:p>
        </w:tc>
        <w:tc>
          <w:tcPr>
            <w:tcW w:type="dxa" w:w="3561"/>
            <w:vAlign w:val="top"/>
          </w:tcPr>
          <w:p>
            <w:pPr>
              <w:spacing w:after="0" w:line="226" w:lineRule="auto"/>
            </w:pPr>
            <w:r>
              <w:rPr>
                <w:rFonts w:ascii="Times New Roman" w:hAnsi="Times New Roman"/>
                <w:sz w:val="13"/>
              </w:rPr>
              <w:t>Divine sovereignty over life/spirit; not immortal-soul proof.</w:t>
            </w:r>
          </w:p>
        </w:tc>
      </w:tr>
      <w:tr>
        <w:tc>
          <w:tcPr>
            <w:tcW w:type="dxa" w:w="3561"/>
            <w:vAlign w:val="top"/>
          </w:tcPr>
          <w:p>
            <w:pPr>
              <w:spacing w:after="0" w:line="226" w:lineRule="auto"/>
            </w:pPr>
            <w:r>
              <w:rPr>
                <w:rFonts w:ascii="Times New Roman" w:hAnsi="Times New Roman"/>
                <w:sz w:val="13"/>
              </w:rPr>
              <w:t>Num. 27:17</w:t>
            </w:r>
          </w:p>
        </w:tc>
        <w:tc>
          <w:tcPr>
            <w:tcW w:type="dxa" w:w="3561"/>
            <w:vAlign w:val="top"/>
          </w:tcPr>
          <w:p>
            <w:pPr>
              <w:spacing w:after="0" w:line="226" w:lineRule="auto"/>
            </w:pPr>
            <w:r>
              <w:rPr>
                <w:rFonts w:ascii="Times New Roman" w:hAnsi="Times New Roman"/>
                <w:sz w:val="13"/>
              </w:rPr>
              <w:t>sheep without shepherd</w:t>
            </w:r>
          </w:p>
        </w:tc>
        <w:tc>
          <w:tcPr>
            <w:tcW w:type="dxa" w:w="3561"/>
            <w:vAlign w:val="top"/>
          </w:tcPr>
          <w:p>
            <w:pPr>
              <w:spacing w:after="0" w:line="226" w:lineRule="auto"/>
            </w:pPr>
            <w:r>
              <w:rPr>
                <w:rFonts w:ascii="Times New Roman" w:hAnsi="Times New Roman"/>
                <w:sz w:val="13"/>
              </w:rPr>
              <w:t>Pastoral leadership principle.</w:t>
            </w:r>
          </w:p>
        </w:tc>
      </w:tr>
      <w:tr>
        <w:tc>
          <w:tcPr>
            <w:tcW w:type="dxa" w:w="3561"/>
            <w:vAlign w:val="top"/>
          </w:tcPr>
          <w:p>
            <w:pPr>
              <w:spacing w:after="0" w:line="226" w:lineRule="auto"/>
            </w:pPr>
            <w:r>
              <w:rPr>
                <w:rFonts w:ascii="Times New Roman" w:hAnsi="Times New Roman"/>
                <w:sz w:val="13"/>
              </w:rPr>
              <w:t>Num. 27:18</w:t>
            </w:r>
          </w:p>
        </w:tc>
        <w:tc>
          <w:tcPr>
            <w:tcW w:type="dxa" w:w="3561"/>
            <w:vAlign w:val="top"/>
          </w:tcPr>
          <w:p>
            <w:pPr>
              <w:spacing w:after="0" w:line="226" w:lineRule="auto"/>
            </w:pPr>
            <w:r>
              <w:rPr>
                <w:rFonts w:ascii="Times New Roman" w:hAnsi="Times New Roman"/>
                <w:sz w:val="13"/>
              </w:rPr>
              <w:t>man in whom is the spirit</w:t>
            </w:r>
          </w:p>
        </w:tc>
        <w:tc>
          <w:tcPr>
            <w:tcW w:type="dxa" w:w="3561"/>
            <w:vAlign w:val="top"/>
          </w:tcPr>
          <w:p>
            <w:pPr>
              <w:spacing w:after="0" w:line="226" w:lineRule="auto"/>
            </w:pPr>
            <w:r>
              <w:rPr>
                <w:rFonts w:ascii="Times New Roman" w:hAnsi="Times New Roman"/>
                <w:sz w:val="13"/>
              </w:rPr>
              <w:t>Joshua’s Divine qualification.</w:t>
            </w:r>
          </w:p>
        </w:tc>
      </w:tr>
      <w:tr>
        <w:tc>
          <w:tcPr>
            <w:tcW w:type="dxa" w:w="3561"/>
            <w:vAlign w:val="top"/>
          </w:tcPr>
          <w:p>
            <w:pPr>
              <w:spacing w:after="0" w:line="226" w:lineRule="auto"/>
            </w:pPr>
            <w:r>
              <w:rPr>
                <w:rFonts w:ascii="Times New Roman" w:hAnsi="Times New Roman"/>
                <w:sz w:val="13"/>
              </w:rPr>
              <w:t>Deut. 34:9</w:t>
            </w:r>
          </w:p>
        </w:tc>
        <w:tc>
          <w:tcPr>
            <w:tcW w:type="dxa" w:w="3561"/>
            <w:vAlign w:val="top"/>
          </w:tcPr>
          <w:p>
            <w:pPr>
              <w:spacing w:after="0" w:line="226" w:lineRule="auto"/>
            </w:pPr>
            <w:r>
              <w:rPr>
                <w:rFonts w:ascii="Times New Roman" w:hAnsi="Times New Roman"/>
                <w:sz w:val="13"/>
              </w:rPr>
              <w:t>spirit of wisdom</w:t>
            </w:r>
          </w:p>
        </w:tc>
        <w:tc>
          <w:tcPr>
            <w:tcW w:type="dxa" w:w="3561"/>
            <w:vAlign w:val="top"/>
          </w:tcPr>
          <w:p>
            <w:pPr>
              <w:spacing w:after="0" w:line="226" w:lineRule="auto"/>
            </w:pPr>
            <w:r>
              <w:rPr>
                <w:rFonts w:ascii="Times New Roman" w:hAnsi="Times New Roman"/>
                <w:sz w:val="13"/>
              </w:rPr>
              <w:t>Later description after laying on hands.</w:t>
            </w:r>
          </w:p>
        </w:tc>
      </w:tr>
      <w:tr>
        <w:tc>
          <w:tcPr>
            <w:tcW w:type="dxa" w:w="3561"/>
            <w:vAlign w:val="top"/>
          </w:tcPr>
          <w:p>
            <w:pPr>
              <w:spacing w:after="0" w:line="226" w:lineRule="auto"/>
            </w:pPr>
            <w:r>
              <w:rPr>
                <w:rFonts w:ascii="Times New Roman" w:hAnsi="Times New Roman"/>
                <w:sz w:val="13"/>
              </w:rPr>
              <w:t>Num. 27:20</w:t>
            </w:r>
          </w:p>
        </w:tc>
        <w:tc>
          <w:tcPr>
            <w:tcW w:type="dxa" w:w="3561"/>
            <w:vAlign w:val="top"/>
          </w:tcPr>
          <w:p>
            <w:pPr>
              <w:spacing w:after="0" w:line="226" w:lineRule="auto"/>
            </w:pPr>
            <w:r>
              <w:rPr>
                <w:rFonts w:ascii="Times New Roman" w:hAnsi="Times New Roman"/>
                <w:sz w:val="13"/>
              </w:rPr>
              <w:t>hod</w:t>
            </w:r>
          </w:p>
        </w:tc>
        <w:tc>
          <w:tcPr>
            <w:tcW w:type="dxa" w:w="3561"/>
            <w:vAlign w:val="top"/>
          </w:tcPr>
          <w:p>
            <w:pPr>
              <w:spacing w:after="0" w:line="226" w:lineRule="auto"/>
            </w:pPr>
            <w:r>
              <w:rPr>
                <w:rFonts w:ascii="Times New Roman" w:hAnsi="Times New Roman"/>
                <w:sz w:val="13"/>
              </w:rPr>
              <w:t>Honour/majesty/authority; partial succession.</w:t>
            </w:r>
          </w:p>
        </w:tc>
      </w:tr>
      <w:tr>
        <w:tc>
          <w:tcPr>
            <w:tcW w:type="dxa" w:w="3561"/>
            <w:vAlign w:val="top"/>
          </w:tcPr>
          <w:p>
            <w:pPr>
              <w:spacing w:after="0" w:line="226" w:lineRule="auto"/>
            </w:pPr>
            <w:r>
              <w:rPr>
                <w:rFonts w:ascii="Times New Roman" w:hAnsi="Times New Roman"/>
                <w:sz w:val="13"/>
              </w:rPr>
              <w:t>Num. 27:21</w:t>
            </w:r>
          </w:p>
        </w:tc>
        <w:tc>
          <w:tcPr>
            <w:tcW w:type="dxa" w:w="3561"/>
            <w:vAlign w:val="top"/>
          </w:tcPr>
          <w:p>
            <w:pPr>
              <w:spacing w:after="0" w:line="226" w:lineRule="auto"/>
            </w:pPr>
            <w:r>
              <w:rPr>
                <w:rFonts w:ascii="Times New Roman" w:hAnsi="Times New Roman"/>
                <w:sz w:val="13"/>
              </w:rPr>
              <w:t>Urim</w:t>
            </w:r>
          </w:p>
        </w:tc>
        <w:tc>
          <w:tcPr>
            <w:tcW w:type="dxa" w:w="3561"/>
            <w:vAlign w:val="top"/>
          </w:tcPr>
          <w:p>
            <w:pPr>
              <w:spacing w:after="0" w:line="226" w:lineRule="auto"/>
            </w:pPr>
            <w:r>
              <w:rPr>
                <w:rFonts w:ascii="Times New Roman" w:hAnsi="Times New Roman"/>
                <w:sz w:val="13"/>
              </w:rPr>
              <w:t>Joshua receives direction through Eleazar.</w:t>
            </w:r>
          </w:p>
        </w:tc>
      </w:tr>
      <w:tr>
        <w:tc>
          <w:tcPr>
            <w:tcW w:type="dxa" w:w="3561"/>
            <w:vAlign w:val="top"/>
          </w:tcPr>
          <w:p>
            <w:pPr>
              <w:spacing w:after="0" w:line="226" w:lineRule="auto"/>
            </w:pPr>
            <w:r>
              <w:rPr>
                <w:rFonts w:ascii="Times New Roman" w:hAnsi="Times New Roman"/>
                <w:sz w:val="13"/>
              </w:rPr>
              <w:t>Deut. 34:10</w:t>
            </w:r>
          </w:p>
        </w:tc>
        <w:tc>
          <w:tcPr>
            <w:tcW w:type="dxa" w:w="3561"/>
            <w:vAlign w:val="top"/>
          </w:tcPr>
          <w:p>
            <w:pPr>
              <w:spacing w:after="0" w:line="226" w:lineRule="auto"/>
            </w:pPr>
            <w:r>
              <w:rPr>
                <w:rFonts w:ascii="Times New Roman" w:hAnsi="Times New Roman"/>
                <w:sz w:val="13"/>
              </w:rPr>
              <w:t>Moses uniquely face to face</w:t>
            </w:r>
          </w:p>
        </w:tc>
        <w:tc>
          <w:tcPr>
            <w:tcW w:type="dxa" w:w="3561"/>
            <w:vAlign w:val="top"/>
          </w:tcPr>
          <w:p>
            <w:pPr>
              <w:spacing w:after="0" w:line="226" w:lineRule="auto"/>
            </w:pPr>
            <w:r>
              <w:rPr>
                <w:rFonts w:ascii="Times New Roman" w:hAnsi="Times New Roman"/>
                <w:sz w:val="13"/>
              </w:rPr>
              <w:t>Succession without identity.</w:t>
            </w:r>
          </w:p>
        </w:tc>
      </w:tr>
    </w:tbl>
    <w:p>
      <w:pPr>
        <w:pStyle w:val="Heading1"/>
      </w:pPr>
      <w:r>
        <w:t>RESIDUAL UNCERTAINTIES</w:t>
      </w:r>
    </w:p>
    <w:p>
      <w:pPr/>
      <w:r>
        <w:rPr>
          <w:i w:val="0"/>
        </w:rPr>
        <w:t>The phrase “his own sin” does not reveal Zelophehad’s exact cause of death. The Abarim summit is not named in this chapter. The metaphysics of “spirits of all flesh” should not be built beyond normal biblical ruach usage. The mechanics of Urim enquiry remain unstated.</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27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9"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6" w:after="12"/>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30" w:after="12"/>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