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NUMBERS 30</w:t>
      </w:r>
    </w:p>
    <w:p>
      <w:pPr>
        <w:pStyle w:val="Subtitle"/>
      </w:pPr>
      <w:r>
        <w:t>WORDS BEFORE YAHWEH ARE BINDING • VOW AND BOND • A MAN MUST NOT PROFANE HIS WORD • FATHER OR HUSBAND MAY ANNUL PROMPTLY • SILENCE CONFIRMS • WIDOW AND DIVORCED WOMAN’S VOW STANDS • AUTHORITY CARRIES ACCOUNTABILITY</w:t>
      </w:r>
    </w:p>
    <w:p>
      <w:pPr/>
      <w:r>
        <w:rPr>
          <w:i/>
        </w:rPr>
        <w:t>H. P. Mansfield Bible notes — checked and arranged in verse-by-verse Expositor style</w:t>
      </w:r>
    </w:p>
    <w:p>
      <w:pPr/>
      <w:r>
        <w:rPr>
          <w:i w:val="0"/>
        </w:rPr>
        <w:t>Source: HPB 03-Lev12-Num36.PDF, mainly p. 86; cross-checked with Mansfield’s Numbers Expositor Chapter 30.</w:t>
      </w:r>
    </w:p>
    <w:p>
      <w:pPr>
        <w:pStyle w:val="Heading1"/>
      </w:pPr>
      <w:r>
        <w:t>CHAPTER OVERVIEW</w:t>
      </w:r>
    </w:p>
    <w:p>
      <w:pPr/>
      <w:r>
        <w:rPr>
          <w:i w:val="0"/>
        </w:rPr>
        <w:t>Numbers 30 regulates religious vows and self-binding oaths within Israel’s household structure. A permitted vow made to Yahweh is not casual speech: it must be fulfilled.</w:t>
      </w:r>
    </w:p>
    <w:p>
      <w:pPr/>
      <w:r>
        <w:rPr>
          <w:i w:val="0"/>
        </w:rPr>
        <w:t>The chapter also gives a father or husband a limited power to disallow specified vows when he hears them. That authority must be exercised promptly. Silence confirms the vow; attempting to annul it later transfers responsibility to the husband.</w:t>
      </w:r>
    </w:p>
    <w:p>
      <w:pPr>
        <w:pStyle w:val="Heading1"/>
      </w:pPr>
      <w:r>
        <w:t>A MAN’S VOW — NUMBERS 30:1–2</w:t>
      </w:r>
    </w:p>
    <w:p>
      <w:pPr>
        <w:pStyle w:val="Heading2"/>
      </w:pPr>
      <w:r>
        <w:t>Numbers 30:1 — instruction to tribal heads</w:t>
      </w:r>
    </w:p>
    <w:p>
      <w:pPr/>
      <w:r>
        <w:rPr>
          <w:i w:val="0"/>
        </w:rPr>
        <w:t>Moses addresses the heads of Israel’s tribes with Yahweh’s command concerning vows.</w:t>
      </w:r>
    </w:p>
    <w:p>
      <w:pPr>
        <w:pStyle w:val="Heading2"/>
      </w:pPr>
      <w:r>
        <w:t>Numbers 30:2 — neder and issar</w:t>
      </w:r>
    </w:p>
    <w:p>
      <w:pPr/>
      <w:r>
        <w:rPr>
          <w:i w:val="0"/>
        </w:rPr>
        <w:t>If a man vows a neder to Yahweh or swears an oath to bind himself with an issar, bond/restriction, he must not yachel his word—profane/break it—but must do all that has proceeded from his mouth.</w:t>
      </w:r>
    </w:p>
    <w:p>
      <w:pPr/>
      <w:r>
        <w:rPr>
          <w:i w:val="0"/>
        </w:rPr>
        <w:t>Neder is a vow/promise; issar is a binding obligation or prohibition. The point is truthful fulfilment before Yahweh.</w:t>
      </w:r>
    </w:p>
    <w:p>
      <w:pPr>
        <w:pStyle w:val="Heading1"/>
      </w:pPr>
      <w:r>
        <w:t>A DAUGHTER IN HER FATHER’S HOUSE — NUMBERS 30:3–5</w:t>
      </w:r>
    </w:p>
    <w:p>
      <w:pPr>
        <w:pStyle w:val="Heading2"/>
      </w:pPr>
      <w:r>
        <w:t>Numbers 30:3–4 — silence establishes the vow</w:t>
      </w:r>
    </w:p>
    <w:p>
      <w:pPr/>
      <w:r>
        <w:rPr>
          <w:i w:val="0"/>
        </w:rPr>
        <w:t>If a young woman in her father’s house makes a vow or binding obligation and her father hears but says nothing, her vows and bonds stand.</w:t>
      </w:r>
    </w:p>
    <w:p>
      <w:pPr/>
      <w:r>
        <w:rPr>
          <w:i w:val="0"/>
        </w:rPr>
        <w:t>Silence on the day of hearing functions as confirmation.</w:t>
      </w:r>
    </w:p>
    <w:p>
      <w:pPr>
        <w:pStyle w:val="Heading2"/>
      </w:pPr>
      <w:r>
        <w:t>Numbers 30:5 — immediate disallowance annuls</w:t>
      </w:r>
    </w:p>
    <w:p>
      <w:pPr/>
      <w:r>
        <w:rPr>
          <w:i w:val="0"/>
        </w:rPr>
        <w:t>If her father disallows the vow on the day he hears it, it does not stand and Yahweh forgives/releases her because her father disallowed it.</w:t>
      </w:r>
    </w:p>
    <w:p>
      <w:pPr/>
      <w:r>
        <w:rPr>
          <w:i w:val="0"/>
        </w:rPr>
        <w:t>The text does not say she sinned merely by making a vow without first consulting her father. Mansfield’s stronger claim that the woman was necessarily at fault for failing to consult authority goes beyond the wording.</w:t>
      </w:r>
    </w:p>
    <w:p>
      <w:pPr>
        <w:pStyle w:val="Heading1"/>
      </w:pPr>
      <w:r>
        <w:t>THE WOMAN WHO BECOMES / IS UNDER A HUSBAND — NUMBERS 30:6–8</w:t>
      </w:r>
    </w:p>
    <w:p>
      <w:pPr>
        <w:pStyle w:val="Heading2"/>
      </w:pPr>
      <w:r>
        <w:t>Numbers 30:6 — exact legal scenario is debated</w:t>
      </w:r>
    </w:p>
    <w:p>
      <w:pPr/>
      <w:r>
        <w:rPr>
          <w:i w:val="0"/>
        </w:rPr>
        <w:t>The Hebrew describes a woman who “is/becomes to a husband” while vows or a rash utterance are upon her. This is often understood as a betrothed/newly married woman whose existing vow comes under the husband’s authority, though translations differ.</w:t>
      </w:r>
    </w:p>
    <w:p>
      <w:pPr/>
      <w:r>
        <w:rPr>
          <w:i w:val="0"/>
        </w:rPr>
        <w:t>It is safer than stating categorically that every vow in this section was made before marriage.</w:t>
      </w:r>
    </w:p>
    <w:p>
      <w:pPr>
        <w:pStyle w:val="Heading2"/>
      </w:pPr>
      <w:r>
        <w:t>Numbers 30:7–8 — husband’s silence confirms; prompt objection annuls</w:t>
      </w:r>
    </w:p>
    <w:p>
      <w:pPr/>
      <w:r>
        <w:rPr>
          <w:i w:val="0"/>
        </w:rPr>
        <w:t>If the husband hears and remains silent, the vows stand. If he disallows them on the day he hears, they are annulled and Yahweh forgives/releases her.</w:t>
      </w:r>
    </w:p>
    <w:p>
      <w:pPr/>
      <w:r>
        <w:rPr>
          <w:i w:val="0"/>
        </w:rPr>
        <w:t>Again, annulment rests on the household authority structure rather than proving the woman’s initial vow was morally sinful.</w:t>
      </w:r>
    </w:p>
    <w:p>
      <w:pPr>
        <w:pStyle w:val="Heading1"/>
      </w:pPr>
      <w:r>
        <w:t>WIDOW OR DIVORCED WOMAN — NUMBERS 30:9</w:t>
      </w:r>
    </w:p>
    <w:p>
      <w:pPr>
        <w:pStyle w:val="Heading2"/>
      </w:pPr>
      <w:r>
        <w:t>Numbers 30:9 — her vow remains binding</w:t>
      </w:r>
    </w:p>
    <w:p>
      <w:pPr/>
      <w:r>
        <w:rPr>
          <w:i w:val="0"/>
        </w:rPr>
        <w:t>A widow’s or divorced woman’s vow and bond stand against her; no father/husband annulment is provided in this status.</w:t>
      </w:r>
    </w:p>
    <w:p>
      <w:pPr>
        <w:pStyle w:val="Heading1"/>
      </w:pPr>
      <w:r>
        <w:t>A MARRIED WOMAN’S VOW — NUMBERS 30:10–15</w:t>
      </w:r>
    </w:p>
    <w:p>
      <w:pPr>
        <w:pStyle w:val="Heading2"/>
      </w:pPr>
      <w:r>
        <w:t>Numbers 30:10–12 — same-day confirmation or annulment</w:t>
      </w:r>
    </w:p>
    <w:p>
      <w:pPr/>
      <w:r>
        <w:rPr>
          <w:i w:val="0"/>
        </w:rPr>
        <w:t>If a wife makes a vow in her husband’s house, his silence confirms it; prompt disallowance on the day he hears makes it void.</w:t>
      </w:r>
    </w:p>
    <w:p>
      <w:pPr/>
      <w:r>
        <w:rPr>
          <w:i w:val="0"/>
        </w:rPr>
        <w:t>The legal power is time-limited rather than an indefinite right to reverse an already confirmed vow.</w:t>
      </w:r>
    </w:p>
    <w:p>
      <w:pPr>
        <w:pStyle w:val="Heading2"/>
      </w:pPr>
      <w:r>
        <w:t>Numbers 30:13 — vows of self-denial</w:t>
      </w:r>
    </w:p>
    <w:p>
      <w:pPr/>
      <w:r>
        <w:rPr>
          <w:i w:val="0"/>
        </w:rPr>
        <w:t>A husband may confirm or annul vows and oaths “to afflict the soul,” that is, forms of self-denial/abstinence.</w:t>
      </w:r>
    </w:p>
    <w:p>
      <w:pPr/>
      <w:r>
        <w:rPr>
          <w:i w:val="0"/>
        </w:rPr>
        <w:t>`Nephesh` denotes the person/self here, not an inherently immortal soul.</w:t>
      </w:r>
    </w:p>
    <w:p>
      <w:pPr>
        <w:pStyle w:val="Heading2"/>
      </w:pPr>
      <w:r>
        <w:t>Numbers 30:14 — silence from day to day confirms</w:t>
      </w:r>
    </w:p>
    <w:p>
      <w:pPr/>
      <w:r>
        <w:rPr>
          <w:i w:val="0"/>
        </w:rPr>
        <w:t>If the husband remains silent beyond the day he hears, he has established the vows by his silence.</w:t>
      </w:r>
    </w:p>
    <w:p>
      <w:pPr>
        <w:pStyle w:val="Heading2"/>
      </w:pPr>
      <w:r>
        <w:t>Numbers 30:15 — late annulment transfers liability</w:t>
      </w:r>
    </w:p>
    <w:p>
      <w:pPr/>
      <w:r>
        <w:rPr>
          <w:i w:val="0"/>
        </w:rPr>
        <w:t>If he later makes the vow void after having effectively confirmed it, he “shall bear her iniquity.” Authority therefore carries accountability for disrupting an obligation he allowed to stand.</w:t>
      </w:r>
    </w:p>
    <w:p>
      <w:pPr>
        <w:pStyle w:val="Heading1"/>
      </w:pPr>
      <w:r>
        <w:t>SUMMARY — NUMBERS 30:16</w:t>
      </w:r>
    </w:p>
    <w:p>
      <w:pPr>
        <w:pStyle w:val="Heading2"/>
      </w:pPr>
      <w:r>
        <w:t>Numbers 30:16 — scope of the statutes</w:t>
      </w:r>
    </w:p>
    <w:p>
      <w:pPr/>
      <w:r>
        <w:rPr>
          <w:i w:val="0"/>
        </w:rPr>
        <w:t>The chapter summarises these rules as statutes governing husband and wife and father and daughter while she is young in her father’s house.</w:t>
      </w:r>
    </w:p>
    <w:p>
      <w:pPr/>
      <w:r>
        <w:rPr>
          <w:i w:val="0"/>
        </w:rPr>
        <w:t>They concern vows to Yahweh within ancient Israel’s covenant household order; they should not be expanded beyond that stated legal setting into an unlimited power over every decision or contract.</w:t>
      </w:r>
    </w:p>
    <w:p>
      <w:pPr>
        <w:pStyle w:val="Heading1"/>
      </w:pPr>
      <w:r>
        <w:t>PRINCIPAL THEMES</w:t>
      </w:r>
    </w:p>
    <w:p>
      <w:pPr>
        <w:ind w:left="259" w:hanging="202"/>
      </w:pPr>
      <w:r>
        <w:rPr>
          <w:b/>
        </w:rPr>
        <w:t xml:space="preserve">• </w:t>
      </w:r>
      <w:r>
        <w:t>A vow to Yahweh is binding speech, not casual religious language.</w:t>
      </w:r>
    </w:p>
    <w:p>
      <w:pPr>
        <w:ind w:left="259" w:hanging="202"/>
      </w:pPr>
      <w:r>
        <w:rPr>
          <w:b/>
        </w:rPr>
        <w:t xml:space="preserve">• </w:t>
      </w:r>
      <w:r>
        <w:t>`neder` is a vow; `issar` a binding obligation/restriction.</w:t>
      </w:r>
    </w:p>
    <w:p>
      <w:pPr>
        <w:ind w:left="259" w:hanging="202"/>
      </w:pPr>
      <w:r>
        <w:rPr>
          <w:b/>
        </w:rPr>
        <w:t xml:space="preserve">• </w:t>
      </w:r>
      <w:r>
        <w:t>`yachel` means profane/break one’s word.</w:t>
      </w:r>
    </w:p>
    <w:p>
      <w:pPr>
        <w:ind w:left="259" w:hanging="202"/>
      </w:pPr>
      <w:r>
        <w:rPr>
          <w:b/>
        </w:rPr>
        <w:t xml:space="preserve">• </w:t>
      </w:r>
      <w:r>
        <w:t>Father/husband annulment is restricted to the day of hearing; silence establishes the vow.</w:t>
      </w:r>
    </w:p>
    <w:p>
      <w:pPr>
        <w:ind w:left="259" w:hanging="202"/>
      </w:pPr>
      <w:r>
        <w:rPr>
          <w:b/>
        </w:rPr>
        <w:t xml:space="preserve">• </w:t>
      </w:r>
      <w:r>
        <w:t>The text does not say a woman sinned simply because she vowed before consulting a male authority.</w:t>
      </w:r>
    </w:p>
    <w:p>
      <w:pPr>
        <w:ind w:left="259" w:hanging="202"/>
      </w:pPr>
      <w:r>
        <w:rPr>
          <w:b/>
        </w:rPr>
        <w:t xml:space="preserve">• </w:t>
      </w:r>
      <w:r>
        <w:t>Verses 6–8 have a debated marital/betrothal setting and should not be over-specified.</w:t>
      </w:r>
    </w:p>
    <w:p>
      <w:pPr>
        <w:ind w:left="259" w:hanging="202"/>
      </w:pPr>
      <w:r>
        <w:rPr>
          <w:b/>
        </w:rPr>
        <w:t xml:space="preserve">• </w:t>
      </w:r>
      <w:r>
        <w:t>A widow or divorced woman’s vow stands upon her.</w:t>
      </w:r>
    </w:p>
    <w:p>
      <w:pPr>
        <w:ind w:left="259" w:hanging="202"/>
      </w:pPr>
      <w:r>
        <w:rPr>
          <w:b/>
        </w:rPr>
        <w:t xml:space="preserve">• </w:t>
      </w:r>
      <w:r>
        <w:t>`nephesh` in a vow of affliction means the person/self.</w:t>
      </w:r>
    </w:p>
    <w:p>
      <w:pPr>
        <w:ind w:left="259" w:hanging="202"/>
      </w:pPr>
      <w:r>
        <w:rPr>
          <w:b/>
        </w:rPr>
        <w:t xml:space="preserve">• </w:t>
      </w:r>
      <w:r>
        <w:t>Late annulment makes the husband bear responsibility.</w:t>
      </w:r>
    </w:p>
    <w:p>
      <w:pPr>
        <w:ind w:left="259" w:hanging="202"/>
      </w:pPr>
      <w:r>
        <w:rPr>
          <w:b/>
        </w:rPr>
        <w:t xml:space="preserve">• </w:t>
      </w:r>
      <w:r>
        <w:t>The chapter regulates religious vows within Israel’s household law, not every possible modern personal commitment.</w:t>
      </w:r>
    </w:p>
    <w:p>
      <w:pPr>
        <w:pStyle w:val="Heading1"/>
      </w:pPr>
      <w:r>
        <w:t>EDITORIAL VERIFICATION AND RECOVERED READINGS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1"/>
        <w:gridCol w:w="3561"/>
        <w:gridCol w:w="3561"/>
      </w:tblGrid>
      <w:tr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Location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Checked / corrected reading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Basis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30:2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neder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Religious vow/promise.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30:2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issar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Binding obligation/restriction.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30:2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yachel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Profane/break one’s word.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30:2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do all from his mouth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Male vow stands without household annulment provision.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30:3–5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father hears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Silence confirms; same-day disallowance annuls.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30:5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Yahweh forgives/releases her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No statement that making vow itself was necessarily sinful.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30:6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woman ‘to a husband’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Betrothed/newly married/existing-vow setting debated.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30:7–8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husband same-day response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Silence confirms; prompt disallowance annuls.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30:9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widow/divorced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Vows stand.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30:10–12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wife in husband’s house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Same confirmation/annulment principle.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30:13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afflict nephesh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Self-denial of person/self.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30:14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silence from day to day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Establishes vow.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30:15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bear her iniquity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Late annulment transfers liability to husband.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Num. 30:16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scope</w:t>
            </w:r>
          </w:p>
        </w:tc>
        <w:tc>
          <w:tcPr>
            <w:tcW w:type="dxa" w:w="3561"/>
            <w:vAlign w:val="top"/>
          </w:tcPr>
          <w:p>
            <w:pPr>
              <w:spacing w:after="0" w:line="226" w:lineRule="auto"/>
            </w:pPr>
            <w:r>
              <w:rPr>
                <w:rFonts w:ascii="Times New Roman" w:hAnsi="Times New Roman"/>
                <w:sz w:val="13"/>
              </w:rPr>
              <w:t>Husband-wife and father-young-daughter vow statutes.</w:t>
            </w:r>
          </w:p>
        </w:tc>
      </w:tr>
    </w:tbl>
    <w:p>
      <w:pPr>
        <w:pStyle w:val="Heading1"/>
      </w:pPr>
      <w:r>
        <w:t>RESIDUAL UNCERTAINTIES</w:t>
      </w:r>
    </w:p>
    <w:p>
      <w:pPr/>
      <w:r>
        <w:rPr>
          <w:i w:val="0"/>
        </w:rPr>
        <w:t>The exact marital status envisioned in verses 6–8 is debated, and the chapter does not explain every category of vow or rash utterance. Mansfield’s claim that a woman whose vow is annulled must have sinned by failing to consult her father/husband is not stated and has been removed from the factual exposition.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49" w:right="778" w:bottom="749" w:left="77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55555"/>
        <w:sz w:val="16"/>
      </w:rPr>
      <w:t>H. P. MANSFIELD BIBLE NOTES  •  NUMBERS 30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9" w:line="240" w:lineRule="auto"/>
    </w:pPr>
    <w:rPr>
      <w:rFonts w:ascii="Times New Roman" w:hAnsi="Times New Roman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56" w:after="12"/>
      <w:outlineLvl w:val="0"/>
    </w:pPr>
    <w:rPr>
      <w:rFonts w:asciiTheme="majorHAnsi" w:eastAsiaTheme="majorEastAsia" w:hAnsiTheme="majorHAnsi" w:cstheme="majorBidi" w:ascii="Arial" w:hAnsi="Arial"/>
      <w:b/>
      <w:bCs/>
      <w:color w:val="2761A1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" w:after="12"/>
      <w:outlineLvl w:val="1"/>
    </w:pPr>
    <w:rPr>
      <w:rFonts w:asciiTheme="majorHAnsi" w:eastAsiaTheme="majorEastAsia" w:hAnsiTheme="majorHAnsi" w:cstheme="majorBidi" w:ascii="Arial" w:hAnsi="Arial"/>
      <w:b/>
      <w:bCs/>
      <w:color w:val="2761A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84064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/>
      <w:i/>
      <w:iCs/>
      <w:color w:val="367ED2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