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31</w:t>
      </w:r>
    </w:p>
    <w:p>
      <w:pPr>
        <w:pStyle w:val="Subtitle"/>
      </w:pPr>
      <w:r>
        <w:t>YAHWEH’S JUDGMENT ON MIDIAN • 12,000 SENT • PHINEHAS AND THE TRUMPETS • BALAAM SLAIN • PEOR COUNSEL EXPOSED • PURIFICATION AFTER WAR • SPOIL DIVIDED • NO ISRAELITE MISSING • GOLD MEMORIAL</w:t>
      </w:r>
    </w:p>
    <w:p>
      <w:pPr/>
      <w:r>
        <w:rPr>
          <w:i/>
        </w:rPr>
        <w:t>H. P. Mansfield Bible notes — checked and arranged in verse-by-verse Expositor style</w:t>
      </w:r>
    </w:p>
    <w:p>
      <w:pPr/>
      <w:r>
        <w:rPr>
          <w:i w:val="0"/>
        </w:rPr>
        <w:t>Source: HPB 03-Lev12-Num36.PDF, mainly pp. 87–89; cross-checked with Mansfield’s Numbers Expositor Chapter 31, Numbers 25 and 31:16.</w:t>
      </w:r>
    </w:p>
    <w:p>
      <w:pPr>
        <w:pStyle w:val="Heading1"/>
      </w:pPr>
      <w:r>
        <w:t>CHAPTER OVERVIEW</w:t>
      </w:r>
    </w:p>
    <w:p>
      <w:pPr/>
      <w:r>
        <w:rPr>
          <w:i w:val="0"/>
        </w:rPr>
        <w:t>Numbers 31 executes the previously commanded judgment on the Midianite group implicated in the Peor seduction. Moses himself connects the women’s role directly with Balaam’s counsel.</w:t>
      </w:r>
    </w:p>
    <w:p>
      <w:pPr/>
      <w:r>
        <w:rPr>
          <w:i w:val="0"/>
        </w:rPr>
        <w:t>The campaign is not treated as ordinary plunder. Even divinely authorised soldiers become ceremonially unclean through contact with death; captives, goods and metals are regulated, purified and distributed under Yahweh’s command.</w:t>
      </w:r>
    </w:p>
    <w:p>
      <w:pPr>
        <w:pStyle w:val="Heading1"/>
      </w:pPr>
      <w:r>
        <w:t>THE CAMPAIGN ORDERED — NUMBERS 31:1–6</w:t>
      </w:r>
    </w:p>
    <w:p>
      <w:pPr>
        <w:pStyle w:val="Heading2"/>
      </w:pPr>
      <w:r>
        <w:t>Numbers 31:1–3 — Israel’s vengeance and Yahweh’s vengeance</w:t>
      </w:r>
    </w:p>
    <w:p>
      <w:pPr/>
      <w:r>
        <w:rPr>
          <w:i w:val="0"/>
        </w:rPr>
        <w:t>Yahweh tells Moses to avenge the children of Israel upon the Midianites before Moses is gathered to his people. Moses calls the campaign “Yahweh’s vengeance on Midian.”</w:t>
      </w:r>
    </w:p>
    <w:p>
      <w:pPr/>
      <w:r>
        <w:rPr>
          <w:i w:val="0"/>
        </w:rPr>
        <w:t>The two expressions identify the same judicial cause: Midian’s deliberate role in corrupting Yahweh’s covenant people.</w:t>
      </w:r>
    </w:p>
    <w:p>
      <w:pPr>
        <w:pStyle w:val="Heading2"/>
      </w:pPr>
      <w:r>
        <w:t>Numbers 31:4–5 — twelve thousand selected</w:t>
      </w:r>
    </w:p>
    <w:p>
      <w:pPr/>
      <w:r>
        <w:rPr>
          <w:i w:val="0"/>
        </w:rPr>
        <w:t>One thousand armed men from each tribe are sent, twelve thousand in total.</w:t>
      </w:r>
    </w:p>
    <w:p>
      <w:pPr/>
      <w:r>
        <w:rPr>
          <w:i w:val="0"/>
        </w:rPr>
        <w:t>The number is explicit; Mansfield’s attempt to make 12,000 a fixed prophetic measure of the New Jerusalem is typology, not the chapter’s stated reason.</w:t>
      </w:r>
    </w:p>
    <w:p>
      <w:pPr>
        <w:pStyle w:val="Heading2"/>
      </w:pPr>
      <w:r>
        <w:t>Numbers 31:6 — Phinehas, holy vessels/instruments and trumpets</w:t>
      </w:r>
    </w:p>
    <w:p>
      <w:pPr/>
      <w:r>
        <w:rPr>
          <w:i w:val="0"/>
        </w:rPr>
        <w:t>Phinehas son of Eleazar accompanies the force with the klei haqqodesh, holy vessels/instruments, and the silver alarm trumpets.</w:t>
      </w:r>
    </w:p>
    <w:p>
      <w:pPr/>
      <w:r>
        <w:rPr>
          <w:i w:val="0"/>
        </w:rPr>
        <w:t>The text does not say Phinehas was army commander, does not identify the holy instruments specifically as the ark, and does not mention Joshua. Mansfield’s statements that Phinehas commanded and Joshua doubtless accompanied him are not retained as fact.</w:t>
      </w:r>
    </w:p>
    <w:p>
      <w:pPr>
        <w:pStyle w:val="Heading1"/>
      </w:pPr>
      <w:r>
        <w:t>VICTORY AND BALAAM’S DEATH — NUMBERS 31:7–12</w:t>
      </w:r>
    </w:p>
    <w:p>
      <w:pPr>
        <w:pStyle w:val="Heading2"/>
      </w:pPr>
      <w:r>
        <w:t>Numbers 31:7–8 — Midianite males and five kings</w:t>
      </w:r>
    </w:p>
    <w:p>
      <w:pPr/>
      <w:r>
        <w:rPr>
          <w:i w:val="0"/>
        </w:rPr>
        <w:t>Israel defeats the Midianite force in this campaign and kills the male combatant population described by the narrative, including five named kings: Evi, Rekem, Zur, Hur and Reba.</w:t>
      </w:r>
    </w:p>
    <w:p>
      <w:pPr/>
      <w:r>
        <w:rPr>
          <w:i w:val="0"/>
        </w:rPr>
        <w:t>Joshua 13:21 describes these rulers as princes/chiefs associated with Sihon. Later Midianites appear in Judges, so “all the males” here concerns the Midianite population targeted in this regional campaign, not every Midianite everywhere.</w:t>
      </w:r>
    </w:p>
    <w:p>
      <w:pPr>
        <w:pStyle w:val="Heading2"/>
      </w:pPr>
      <w:r>
        <w:t>Numbers 31:8 — Balaam slain with the sword</w:t>
      </w:r>
    </w:p>
    <w:p>
      <w:pPr/>
      <w:r>
        <w:rPr>
          <w:i w:val="0"/>
        </w:rPr>
        <w:t>Balaam son of Beor is killed with the sword. His attempt to profit from Israel’s destruction ends in the judgment he helped provoke.</w:t>
      </w:r>
    </w:p>
    <w:p>
      <w:pPr/>
      <w:r>
        <w:rPr>
          <w:i w:val="0"/>
        </w:rPr>
        <w:t>Second Peter 2:15–16 and Jude 11 provide the inspired moral assessment of his covetous way.</w:t>
      </w:r>
    </w:p>
    <w:p>
      <w:pPr>
        <w:pStyle w:val="Heading2"/>
      </w:pPr>
      <w:r>
        <w:t>Numbers 31:9–12 — captives and spoil brought outside the camp</w:t>
      </w:r>
    </w:p>
    <w:p>
      <w:pPr/>
      <w:r>
        <w:rPr>
          <w:i w:val="0"/>
        </w:rPr>
        <w:t>Women, children, livestock and goods are taken as spoil and brought to Moses, Eleazar and the congregation in the plains of Moab.</w:t>
      </w:r>
    </w:p>
    <w:p>
      <w:pPr>
        <w:pStyle w:val="Heading1"/>
      </w:pPr>
      <w:r>
        <w:t>MOSES’ ANGER AND THE PEOR CONNECTION — NUMBERS 31:13–18</w:t>
      </w:r>
    </w:p>
    <w:p>
      <w:pPr>
        <w:pStyle w:val="Heading2"/>
      </w:pPr>
      <w:r>
        <w:t>Numbers 31:13–16 — Balaam’s counsel explicitly named</w:t>
      </w:r>
    </w:p>
    <w:p>
      <w:pPr/>
      <w:r>
        <w:rPr>
          <w:i w:val="0"/>
        </w:rPr>
        <w:t>Moses meets the returning officers outside the camp and is angry that the women were spared. He says these women caused Israel, “through the counsel of Balaam,” to commit trespass in the matter of Peor, bringing the plague.</w:t>
      </w:r>
    </w:p>
    <w:p>
      <w:pPr/>
      <w:r>
        <w:rPr>
          <w:i w:val="0"/>
        </w:rPr>
        <w:t>This verse is the explicit textual link that explains Balaam’s later role after his blessing-oracles.</w:t>
      </w:r>
    </w:p>
    <w:p>
      <w:pPr>
        <w:pStyle w:val="Heading2"/>
      </w:pPr>
      <w:r>
        <w:t>Numbers 31:17–18 — severe judicial command</w:t>
      </w:r>
    </w:p>
    <w:p>
      <w:pPr/>
      <w:r>
        <w:rPr>
          <w:i w:val="0"/>
        </w:rPr>
        <w:t>Moses orders the death of every male child and every woman who had had sexual relations with a man, while young females who had not known a man are kept alive.</w:t>
      </w:r>
    </w:p>
    <w:p>
      <w:pPr/>
      <w:r>
        <w:rPr>
          <w:i w:val="0"/>
        </w:rPr>
        <w:t>This is a severe, specific ancient theocratic-war judgment tied by the narrative to Midian’s Peor seduction. Scripture does not turn it into a general mandate for religious violence, nor does the chapter answer every modern ethical question raised by the command. The text should be reported without euphemism and without inventing extra justifications.</w:t>
      </w:r>
    </w:p>
    <w:p>
      <w:pPr>
        <w:pStyle w:val="Heading1"/>
      </w:pPr>
      <w:r>
        <w:t>PURIFICATION AFTER CONTACT WITH DEATH — NUMBERS 31:19–24</w:t>
      </w:r>
    </w:p>
    <w:p>
      <w:pPr>
        <w:pStyle w:val="Heading2"/>
      </w:pPr>
      <w:r>
        <w:t>Numbers 31:19–20 — seven days outside</w:t>
      </w:r>
    </w:p>
    <w:p>
      <w:pPr/>
      <w:r>
        <w:rPr>
          <w:i w:val="0"/>
        </w:rPr>
        <w:t>Anyone who killed a person or touched the slain must remain outside the camp seven days and purify on the third and seventh days, along with captives and affected garments/objects.</w:t>
      </w:r>
    </w:p>
    <w:p>
      <w:pPr/>
      <w:r>
        <w:rPr>
          <w:i w:val="0"/>
        </w:rPr>
        <w:t>Even service carried out under Yahweh’s command does not remove the ritual defilement associated with death.</w:t>
      </w:r>
    </w:p>
    <w:p>
      <w:pPr>
        <w:pStyle w:val="Heading2"/>
      </w:pPr>
      <w:r>
        <w:t>Numbers 31:21–23 — fire and water</w:t>
      </w:r>
    </w:p>
    <w:p>
      <w:pPr/>
      <w:r>
        <w:rPr>
          <w:i w:val="0"/>
        </w:rPr>
        <w:t>Eleazar gives the purification rule for gold, silver, copper/bronze, iron, tin and lead. Objects able to withstand fire pass through fire and must also be purified with the water of separation; objects unable to endure fire pass through water.</w:t>
      </w:r>
    </w:p>
    <w:p>
      <w:pPr/>
      <w:r>
        <w:rPr>
          <w:i w:val="0"/>
        </w:rPr>
        <w:t>KJV “brass” here corresponds broadly to copper/bronze. The rite is ceremonial purification, not merely ancient sterilisation.</w:t>
      </w:r>
    </w:p>
    <w:p>
      <w:pPr>
        <w:pStyle w:val="Heading2"/>
      </w:pPr>
      <w:r>
        <w:t>Numbers 31:24 — wash clothes and enter on seventh day</w:t>
      </w:r>
    </w:p>
    <w:p>
      <w:pPr/>
      <w:r>
        <w:rPr>
          <w:i w:val="0"/>
        </w:rPr>
        <w:t>After washing garments on the seventh day the soldiers become clean and may enter the camp.</w:t>
      </w:r>
    </w:p>
    <w:p>
      <w:pPr>
        <w:pStyle w:val="Heading1"/>
      </w:pPr>
      <w:r>
        <w:t>DIVISION OF THE PREY — NUMBERS 31:25–47</w:t>
      </w:r>
    </w:p>
    <w:p>
      <w:pPr>
        <w:pStyle w:val="Heading2"/>
      </w:pPr>
      <w:r>
        <w:t>Numbers 31:25–27 — two equal halves</w:t>
      </w:r>
    </w:p>
    <w:p>
      <w:pPr/>
      <w:r>
        <w:rPr>
          <w:i w:val="0"/>
        </w:rPr>
        <w:t>The counted prey is divided equally: one half for the warriors and one half for the congregation.</w:t>
      </w:r>
    </w:p>
    <w:p>
      <w:pPr>
        <w:pStyle w:val="Heading2"/>
      </w:pPr>
      <w:r>
        <w:t>Numbers 31:28–30 — different levies</w:t>
      </w:r>
    </w:p>
    <w:p>
      <w:pPr/>
      <w:r>
        <w:rPr>
          <w:i w:val="0"/>
        </w:rPr>
        <w:t>From the warriors’ half, one out of every five hundred persons/animals is given to Yahweh through Eleazar. From the congregation’s half, one out of every fifty is given to the Levites who keep the tabernacle charge.</w:t>
      </w:r>
    </w:p>
    <w:p>
      <w:pPr/>
      <w:r>
        <w:rPr>
          <w:i w:val="0"/>
        </w:rPr>
        <w:t>Those who bore the battle receive a larger per-person share, while both halves acknowledge Yahweh’s claim.</w:t>
      </w:r>
    </w:p>
    <w:p>
      <w:pPr>
        <w:pStyle w:val="Heading2"/>
      </w:pPr>
      <w:r>
        <w:t>Numbers 31:32–47 — exact totals</w:t>
      </w:r>
    </w:p>
    <w:p>
      <w:pPr/>
      <w:r>
        <w:rPr>
          <w:i w:val="0"/>
        </w:rPr>
        <w:t>The prey counted is 675,000 sheep, 72,000 cattle, 61,000 asses and 32,000 young women. The warriors’ half is 337,500 sheep, 36,000 cattle, 30,500 asses and 16,000 persons; Yahweh’s 1/500 tribute is 675 sheep, 72 cattle, 61 asses and 32 persons.</w:t>
      </w:r>
    </w:p>
    <w:p>
      <w:pPr/>
      <w:r>
        <w:rPr>
          <w:i w:val="0"/>
        </w:rPr>
        <w:t>The congregation receives the same half quantities; the Levite 1/50 levy is therefore 6,750 sheep, 720 cattle, 610 asses and 320 persons.</w:t>
      </w:r>
    </w:p>
    <w:p>
      <w:pPr>
        <w:pStyle w:val="Heading1"/>
      </w:pPr>
      <w:r>
        <w:t>THE OFFICERS’ GOLD OFFERING — NUMBERS 31:48–54</w:t>
      </w:r>
    </w:p>
    <w:p>
      <w:pPr>
        <w:pStyle w:val="Heading2"/>
      </w:pPr>
      <w:r>
        <w:t>Numbers 31:48–49 — not one warrior missing</w:t>
      </w:r>
    </w:p>
    <w:p>
      <w:pPr/>
      <w:r>
        <w:rPr>
          <w:i w:val="0"/>
        </w:rPr>
        <w:t>The commanders report that after counting the men entrusted to them, not one Israelite warrior is missing.</w:t>
      </w:r>
    </w:p>
    <w:p>
      <w:pPr>
        <w:pStyle w:val="Heading2"/>
      </w:pPr>
      <w:r>
        <w:t>Numbers 31:50–52 — gold brought to make atonement</w:t>
      </w:r>
    </w:p>
    <w:p>
      <w:pPr/>
      <w:r>
        <w:rPr>
          <w:i w:val="0"/>
        </w:rPr>
        <w:t>In gratitude and recognition before Yahweh, officers bring gold ornaments “to make an atonement for our souls/persons.” The total gold is 16,750 shekels.</w:t>
      </w:r>
    </w:p>
    <w:p>
      <w:pPr/>
      <w:r>
        <w:rPr>
          <w:i w:val="0"/>
        </w:rPr>
        <w:t>The text does not explain that the soldiers had committed a particular hidden sin requiring this payment. The offering follows the report of preserved lives and functions as a voluntary memorial/atonement gift.</w:t>
      </w:r>
    </w:p>
    <w:p>
      <w:pPr>
        <w:pStyle w:val="Heading2"/>
      </w:pPr>
      <w:r>
        <w:t>Numbers 31:53–54 — memorial before Yahweh</w:t>
      </w:r>
    </w:p>
    <w:p>
      <w:pPr/>
      <w:r>
        <w:rPr>
          <w:i w:val="0"/>
        </w:rPr>
        <w:t>The ordinary soldiers had taken individual spoil, while Moses and Eleazar receive the officers’ gold and bring it into the Tent as a memorial for Israel before Yahweh.</w:t>
      </w:r>
    </w:p>
    <w:p>
      <w:pPr>
        <w:pStyle w:val="Heading1"/>
      </w:pPr>
      <w:r>
        <w:t>PRINCIPAL THEMES</w:t>
      </w:r>
    </w:p>
    <w:p>
      <w:pPr>
        <w:ind w:left="259" w:hanging="202"/>
      </w:pPr>
      <w:r>
        <w:rPr>
          <w:b/>
        </w:rPr>
        <w:t xml:space="preserve">• </w:t>
      </w:r>
      <w:r>
        <w:t>The campaign is explicitly linked to Midian’s Peor seduction and Balaam’s counsel.</w:t>
      </w:r>
    </w:p>
    <w:p>
      <w:pPr>
        <w:ind w:left="259" w:hanging="202"/>
      </w:pPr>
      <w:r>
        <w:rPr>
          <w:b/>
        </w:rPr>
        <w:t xml:space="preserve">• </w:t>
      </w:r>
      <w:r>
        <w:t>Phinehas accompanies the force, but Scripture does not call him commander or mention Joshua.</w:t>
      </w:r>
    </w:p>
    <w:p>
      <w:pPr>
        <w:ind w:left="259" w:hanging="202"/>
      </w:pPr>
      <w:r>
        <w:rPr>
          <w:b/>
        </w:rPr>
        <w:t xml:space="preserve">• </w:t>
      </w:r>
      <w:r>
        <w:t>The “holy instruments” are not specifically identified as the ark.</w:t>
      </w:r>
    </w:p>
    <w:p>
      <w:pPr>
        <w:ind w:left="259" w:hanging="202"/>
      </w:pPr>
      <w:r>
        <w:rPr>
          <w:b/>
        </w:rPr>
        <w:t xml:space="preserve">• </w:t>
      </w:r>
      <w:r>
        <w:t>The Midianites destroyed are the group involved in this campaign; later Midianites continue to exist.</w:t>
      </w:r>
    </w:p>
    <w:p>
      <w:pPr>
        <w:ind w:left="259" w:hanging="202"/>
      </w:pPr>
      <w:r>
        <w:rPr>
          <w:b/>
        </w:rPr>
        <w:t xml:space="preserve">• </w:t>
      </w:r>
      <w:r>
        <w:t>The command concerning women and children is a severe specific theocratic judgment and should neither be hidden nor universalised.</w:t>
      </w:r>
    </w:p>
    <w:p>
      <w:pPr>
        <w:ind w:left="259" w:hanging="202"/>
      </w:pPr>
      <w:r>
        <w:rPr>
          <w:b/>
        </w:rPr>
        <w:t xml:space="preserve">• </w:t>
      </w:r>
      <w:r>
        <w:t>Contact with death requires purification even after a divinely authorised battle.</w:t>
      </w:r>
    </w:p>
    <w:p>
      <w:pPr>
        <w:ind w:left="259" w:hanging="202"/>
      </w:pPr>
      <w:r>
        <w:rPr>
          <w:b/>
        </w:rPr>
        <w:t xml:space="preserve">• </w:t>
      </w:r>
      <w:r>
        <w:t>Metals pass through fire and purification water; KJV “brass” is copper/bronze.</w:t>
      </w:r>
    </w:p>
    <w:p>
      <w:pPr>
        <w:ind w:left="259" w:hanging="202"/>
      </w:pPr>
      <w:r>
        <w:rPr>
          <w:b/>
        </w:rPr>
        <w:t xml:space="preserve">• </w:t>
      </w:r>
      <w:r>
        <w:t>Prey is divided equally, with a 1/500 warrior levy and 1/50 congregation levy.</w:t>
      </w:r>
    </w:p>
    <w:p>
      <w:pPr>
        <w:ind w:left="259" w:hanging="202"/>
      </w:pPr>
      <w:r>
        <w:rPr>
          <w:b/>
        </w:rPr>
        <w:t xml:space="preserve">• </w:t>
      </w:r>
      <w:r>
        <w:t>The detailed arithmetic is internally exact.</w:t>
      </w:r>
    </w:p>
    <w:p>
      <w:pPr>
        <w:ind w:left="259" w:hanging="202"/>
      </w:pPr>
      <w:r>
        <w:rPr>
          <w:b/>
        </w:rPr>
        <w:t xml:space="preserve">• </w:t>
      </w:r>
      <w:r>
        <w:t>No Israelite warrior is missing.</w:t>
      </w:r>
    </w:p>
    <w:p>
      <w:pPr>
        <w:ind w:left="259" w:hanging="202"/>
      </w:pPr>
      <w:r>
        <w:rPr>
          <w:b/>
        </w:rPr>
        <w:t xml:space="preserve">• </w:t>
      </w:r>
      <w:r>
        <w:t>The officers give 16,750 shekels of gold as an atonement/memorial offering.</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6" w:lineRule="auto"/>
            </w:pPr>
            <w:r>
              <w:rPr>
                <w:rFonts w:ascii="Times New Roman" w:hAnsi="Times New Roman"/>
                <w:sz w:val="13"/>
              </w:rPr>
              <w:t>Num. 31:2–3</w:t>
            </w:r>
          </w:p>
        </w:tc>
        <w:tc>
          <w:tcPr>
            <w:tcW w:type="dxa" w:w="3561"/>
            <w:vAlign w:val="top"/>
          </w:tcPr>
          <w:p>
            <w:pPr>
              <w:spacing w:after="0" w:line="226" w:lineRule="auto"/>
            </w:pPr>
            <w:r>
              <w:rPr>
                <w:rFonts w:ascii="Times New Roman" w:hAnsi="Times New Roman"/>
                <w:sz w:val="13"/>
              </w:rPr>
              <w:t>Israel’s / Yahweh’s vengeance</w:t>
            </w:r>
          </w:p>
        </w:tc>
        <w:tc>
          <w:tcPr>
            <w:tcW w:type="dxa" w:w="3561"/>
            <w:vAlign w:val="top"/>
          </w:tcPr>
          <w:p>
            <w:pPr>
              <w:spacing w:after="0" w:line="226" w:lineRule="auto"/>
            </w:pPr>
            <w:r>
              <w:rPr>
                <w:rFonts w:ascii="Times New Roman" w:hAnsi="Times New Roman"/>
                <w:sz w:val="13"/>
              </w:rPr>
              <w:t>Two descriptions of same judicial campaign.</w:t>
            </w:r>
          </w:p>
        </w:tc>
      </w:tr>
      <w:tr>
        <w:tc>
          <w:tcPr>
            <w:tcW w:type="dxa" w:w="3561"/>
            <w:vAlign w:val="top"/>
          </w:tcPr>
          <w:p>
            <w:pPr>
              <w:spacing w:after="0" w:line="226" w:lineRule="auto"/>
            </w:pPr>
            <w:r>
              <w:rPr>
                <w:rFonts w:ascii="Times New Roman" w:hAnsi="Times New Roman"/>
                <w:sz w:val="13"/>
              </w:rPr>
              <w:t>Num. 31:5</w:t>
            </w:r>
          </w:p>
        </w:tc>
        <w:tc>
          <w:tcPr>
            <w:tcW w:type="dxa" w:w="3561"/>
            <w:vAlign w:val="top"/>
          </w:tcPr>
          <w:p>
            <w:pPr>
              <w:spacing w:after="0" w:line="226" w:lineRule="auto"/>
            </w:pPr>
            <w:r>
              <w:rPr>
                <w:rFonts w:ascii="Times New Roman" w:hAnsi="Times New Roman"/>
                <w:sz w:val="13"/>
              </w:rPr>
              <w:t>12,000</w:t>
            </w:r>
          </w:p>
        </w:tc>
        <w:tc>
          <w:tcPr>
            <w:tcW w:type="dxa" w:w="3561"/>
            <w:vAlign w:val="top"/>
          </w:tcPr>
          <w:p>
            <w:pPr>
              <w:spacing w:after="0" w:line="226" w:lineRule="auto"/>
            </w:pPr>
            <w:r>
              <w:rPr>
                <w:rFonts w:ascii="Times New Roman" w:hAnsi="Times New Roman"/>
                <w:sz w:val="13"/>
              </w:rPr>
              <w:t>1,000 from each tribe.</w:t>
            </w:r>
          </w:p>
        </w:tc>
      </w:tr>
      <w:tr>
        <w:tc>
          <w:tcPr>
            <w:tcW w:type="dxa" w:w="3561"/>
            <w:vAlign w:val="top"/>
          </w:tcPr>
          <w:p>
            <w:pPr>
              <w:spacing w:after="0" w:line="226" w:lineRule="auto"/>
            </w:pPr>
            <w:r>
              <w:rPr>
                <w:rFonts w:ascii="Times New Roman" w:hAnsi="Times New Roman"/>
                <w:sz w:val="13"/>
              </w:rPr>
              <w:t>Num. 31:6</w:t>
            </w:r>
          </w:p>
        </w:tc>
        <w:tc>
          <w:tcPr>
            <w:tcW w:type="dxa" w:w="3561"/>
            <w:vAlign w:val="top"/>
          </w:tcPr>
          <w:p>
            <w:pPr>
              <w:spacing w:after="0" w:line="226" w:lineRule="auto"/>
            </w:pPr>
            <w:r>
              <w:rPr>
                <w:rFonts w:ascii="Times New Roman" w:hAnsi="Times New Roman"/>
                <w:sz w:val="13"/>
              </w:rPr>
              <w:t>Phinehas</w:t>
            </w:r>
          </w:p>
        </w:tc>
        <w:tc>
          <w:tcPr>
            <w:tcW w:type="dxa" w:w="3561"/>
            <w:vAlign w:val="top"/>
          </w:tcPr>
          <w:p>
            <w:pPr>
              <w:spacing w:after="0" w:line="226" w:lineRule="auto"/>
            </w:pPr>
            <w:r>
              <w:rPr>
                <w:rFonts w:ascii="Times New Roman" w:hAnsi="Times New Roman"/>
                <w:sz w:val="13"/>
              </w:rPr>
              <w:t>Accompanies force; not explicitly commander.</w:t>
            </w:r>
          </w:p>
        </w:tc>
      </w:tr>
      <w:tr>
        <w:tc>
          <w:tcPr>
            <w:tcW w:type="dxa" w:w="3561"/>
            <w:vAlign w:val="top"/>
          </w:tcPr>
          <w:p>
            <w:pPr>
              <w:spacing w:after="0" w:line="226" w:lineRule="auto"/>
            </w:pPr>
            <w:r>
              <w:rPr>
                <w:rFonts w:ascii="Times New Roman" w:hAnsi="Times New Roman"/>
                <w:sz w:val="13"/>
              </w:rPr>
              <w:t>Num. 31:6</w:t>
            </w:r>
          </w:p>
        </w:tc>
        <w:tc>
          <w:tcPr>
            <w:tcW w:type="dxa" w:w="3561"/>
            <w:vAlign w:val="top"/>
          </w:tcPr>
          <w:p>
            <w:pPr>
              <w:spacing w:after="0" w:line="226" w:lineRule="auto"/>
            </w:pPr>
            <w:r>
              <w:rPr>
                <w:rFonts w:ascii="Times New Roman" w:hAnsi="Times New Roman"/>
                <w:sz w:val="13"/>
              </w:rPr>
              <w:t>klei haqqodesh</w:t>
            </w:r>
          </w:p>
        </w:tc>
        <w:tc>
          <w:tcPr>
            <w:tcW w:type="dxa" w:w="3561"/>
            <w:vAlign w:val="top"/>
          </w:tcPr>
          <w:p>
            <w:pPr>
              <w:spacing w:after="0" w:line="226" w:lineRule="auto"/>
            </w:pPr>
            <w:r>
              <w:rPr>
                <w:rFonts w:ascii="Times New Roman" w:hAnsi="Times New Roman"/>
                <w:sz w:val="13"/>
              </w:rPr>
              <w:t>Holy vessels/instruments; exact objects unstated.</w:t>
            </w:r>
          </w:p>
        </w:tc>
      </w:tr>
      <w:tr>
        <w:tc>
          <w:tcPr>
            <w:tcW w:type="dxa" w:w="3561"/>
            <w:vAlign w:val="top"/>
          </w:tcPr>
          <w:p>
            <w:pPr>
              <w:spacing w:after="0" w:line="226" w:lineRule="auto"/>
            </w:pPr>
            <w:r>
              <w:rPr>
                <w:rFonts w:ascii="Times New Roman" w:hAnsi="Times New Roman"/>
                <w:sz w:val="13"/>
              </w:rPr>
              <w:t>Num. 31:6</w:t>
            </w:r>
          </w:p>
        </w:tc>
        <w:tc>
          <w:tcPr>
            <w:tcW w:type="dxa" w:w="3561"/>
            <w:vAlign w:val="top"/>
          </w:tcPr>
          <w:p>
            <w:pPr>
              <w:spacing w:after="0" w:line="226" w:lineRule="auto"/>
            </w:pPr>
            <w:r>
              <w:rPr>
                <w:rFonts w:ascii="Times New Roman" w:hAnsi="Times New Roman"/>
                <w:sz w:val="13"/>
              </w:rPr>
              <w:t>Joshua</w:t>
            </w:r>
          </w:p>
        </w:tc>
        <w:tc>
          <w:tcPr>
            <w:tcW w:type="dxa" w:w="3561"/>
            <w:vAlign w:val="top"/>
          </w:tcPr>
          <w:p>
            <w:pPr>
              <w:spacing w:after="0" w:line="226" w:lineRule="auto"/>
            </w:pPr>
            <w:r>
              <w:rPr>
                <w:rFonts w:ascii="Times New Roman" w:hAnsi="Times New Roman"/>
                <w:sz w:val="13"/>
              </w:rPr>
              <w:t>Not mentioned; Mansfield speculation omitted.</w:t>
            </w:r>
          </w:p>
        </w:tc>
      </w:tr>
      <w:tr>
        <w:tc>
          <w:tcPr>
            <w:tcW w:type="dxa" w:w="3561"/>
            <w:vAlign w:val="top"/>
          </w:tcPr>
          <w:p>
            <w:pPr>
              <w:spacing w:after="0" w:line="226" w:lineRule="auto"/>
            </w:pPr>
            <w:r>
              <w:rPr>
                <w:rFonts w:ascii="Times New Roman" w:hAnsi="Times New Roman"/>
                <w:sz w:val="13"/>
              </w:rPr>
              <w:t>Num. 31:8</w:t>
            </w:r>
          </w:p>
        </w:tc>
        <w:tc>
          <w:tcPr>
            <w:tcW w:type="dxa" w:w="3561"/>
            <w:vAlign w:val="top"/>
          </w:tcPr>
          <w:p>
            <w:pPr>
              <w:spacing w:after="0" w:line="226" w:lineRule="auto"/>
            </w:pPr>
            <w:r>
              <w:rPr>
                <w:rFonts w:ascii="Times New Roman" w:hAnsi="Times New Roman"/>
                <w:sz w:val="13"/>
              </w:rPr>
              <w:t>five Midianite kings + Balaam</w:t>
            </w:r>
          </w:p>
        </w:tc>
        <w:tc>
          <w:tcPr>
            <w:tcW w:type="dxa" w:w="3561"/>
            <w:vAlign w:val="top"/>
          </w:tcPr>
          <w:p>
            <w:pPr>
              <w:spacing w:after="0" w:line="226" w:lineRule="auto"/>
            </w:pPr>
            <w:r>
              <w:rPr>
                <w:rFonts w:ascii="Times New Roman" w:hAnsi="Times New Roman"/>
                <w:sz w:val="13"/>
              </w:rPr>
              <w:t>Named casualties.</w:t>
            </w:r>
          </w:p>
        </w:tc>
      </w:tr>
      <w:tr>
        <w:tc>
          <w:tcPr>
            <w:tcW w:type="dxa" w:w="3561"/>
            <w:vAlign w:val="top"/>
          </w:tcPr>
          <w:p>
            <w:pPr>
              <w:spacing w:after="0" w:line="226" w:lineRule="auto"/>
            </w:pPr>
            <w:r>
              <w:rPr>
                <w:rFonts w:ascii="Times New Roman" w:hAnsi="Times New Roman"/>
                <w:sz w:val="13"/>
              </w:rPr>
              <w:t>Josh. 13:21</w:t>
            </w:r>
          </w:p>
        </w:tc>
        <w:tc>
          <w:tcPr>
            <w:tcW w:type="dxa" w:w="3561"/>
            <w:vAlign w:val="top"/>
          </w:tcPr>
          <w:p>
            <w:pPr>
              <w:spacing w:after="0" w:line="226" w:lineRule="auto"/>
            </w:pPr>
            <w:r>
              <w:rPr>
                <w:rFonts w:ascii="Times New Roman" w:hAnsi="Times New Roman"/>
                <w:sz w:val="13"/>
              </w:rPr>
              <w:t>Midianite rulers linked to Sihon</w:t>
            </w:r>
          </w:p>
        </w:tc>
        <w:tc>
          <w:tcPr>
            <w:tcW w:type="dxa" w:w="3561"/>
            <w:vAlign w:val="top"/>
          </w:tcPr>
          <w:p>
            <w:pPr>
              <w:spacing w:after="0" w:line="226" w:lineRule="auto"/>
            </w:pPr>
            <w:r>
              <w:rPr>
                <w:rFonts w:ascii="Times New Roman" w:hAnsi="Times New Roman"/>
                <w:sz w:val="13"/>
              </w:rPr>
              <w:t>Supports regional political setting.</w:t>
            </w:r>
          </w:p>
        </w:tc>
      </w:tr>
      <w:tr>
        <w:tc>
          <w:tcPr>
            <w:tcW w:type="dxa" w:w="3561"/>
            <w:vAlign w:val="top"/>
          </w:tcPr>
          <w:p>
            <w:pPr>
              <w:spacing w:after="0" w:line="226" w:lineRule="auto"/>
            </w:pPr>
            <w:r>
              <w:rPr>
                <w:rFonts w:ascii="Times New Roman" w:hAnsi="Times New Roman"/>
                <w:sz w:val="13"/>
              </w:rPr>
              <w:t>Num. 31:16</w:t>
            </w:r>
          </w:p>
        </w:tc>
        <w:tc>
          <w:tcPr>
            <w:tcW w:type="dxa" w:w="3561"/>
            <w:vAlign w:val="top"/>
          </w:tcPr>
          <w:p>
            <w:pPr>
              <w:spacing w:after="0" w:line="226" w:lineRule="auto"/>
            </w:pPr>
            <w:r>
              <w:rPr>
                <w:rFonts w:ascii="Times New Roman" w:hAnsi="Times New Roman"/>
                <w:sz w:val="13"/>
              </w:rPr>
              <w:t>Balaam’s counsel</w:t>
            </w:r>
          </w:p>
        </w:tc>
        <w:tc>
          <w:tcPr>
            <w:tcW w:type="dxa" w:w="3561"/>
            <w:vAlign w:val="top"/>
          </w:tcPr>
          <w:p>
            <w:pPr>
              <w:spacing w:after="0" w:line="226" w:lineRule="auto"/>
            </w:pPr>
            <w:r>
              <w:rPr>
                <w:rFonts w:ascii="Times New Roman" w:hAnsi="Times New Roman"/>
                <w:sz w:val="13"/>
              </w:rPr>
              <w:t>Explicit cause of Peor seduction.</w:t>
            </w:r>
          </w:p>
        </w:tc>
      </w:tr>
      <w:tr>
        <w:tc>
          <w:tcPr>
            <w:tcW w:type="dxa" w:w="3561"/>
            <w:vAlign w:val="top"/>
          </w:tcPr>
          <w:p>
            <w:pPr>
              <w:spacing w:after="0" w:line="226" w:lineRule="auto"/>
            </w:pPr>
            <w:r>
              <w:rPr>
                <w:rFonts w:ascii="Times New Roman" w:hAnsi="Times New Roman"/>
                <w:sz w:val="13"/>
              </w:rPr>
              <w:t>Num. 31:17–18</w:t>
            </w:r>
          </w:p>
        </w:tc>
        <w:tc>
          <w:tcPr>
            <w:tcW w:type="dxa" w:w="3561"/>
            <w:vAlign w:val="top"/>
          </w:tcPr>
          <w:p>
            <w:pPr>
              <w:spacing w:after="0" w:line="226" w:lineRule="auto"/>
            </w:pPr>
            <w:r>
              <w:rPr>
                <w:rFonts w:ascii="Times New Roman" w:hAnsi="Times New Roman"/>
                <w:sz w:val="13"/>
              </w:rPr>
              <w:t>women/children judgment</w:t>
            </w:r>
          </w:p>
        </w:tc>
        <w:tc>
          <w:tcPr>
            <w:tcW w:type="dxa" w:w="3561"/>
            <w:vAlign w:val="top"/>
          </w:tcPr>
          <w:p>
            <w:pPr>
              <w:spacing w:after="0" w:line="226" w:lineRule="auto"/>
            </w:pPr>
            <w:r>
              <w:rPr>
                <w:rFonts w:ascii="Times New Roman" w:hAnsi="Times New Roman"/>
                <w:sz w:val="13"/>
              </w:rPr>
              <w:t>Specific severe command; do not generalise.</w:t>
            </w:r>
          </w:p>
        </w:tc>
      </w:tr>
      <w:tr>
        <w:tc>
          <w:tcPr>
            <w:tcW w:type="dxa" w:w="3561"/>
            <w:vAlign w:val="top"/>
          </w:tcPr>
          <w:p>
            <w:pPr>
              <w:spacing w:after="0" w:line="226" w:lineRule="auto"/>
            </w:pPr>
            <w:r>
              <w:rPr>
                <w:rFonts w:ascii="Times New Roman" w:hAnsi="Times New Roman"/>
                <w:sz w:val="13"/>
              </w:rPr>
              <w:t>Num. 31:19</w:t>
            </w:r>
          </w:p>
        </w:tc>
        <w:tc>
          <w:tcPr>
            <w:tcW w:type="dxa" w:w="3561"/>
            <w:vAlign w:val="top"/>
          </w:tcPr>
          <w:p>
            <w:pPr>
              <w:spacing w:after="0" w:line="226" w:lineRule="auto"/>
            </w:pPr>
            <w:r>
              <w:rPr>
                <w:rFonts w:ascii="Times New Roman" w:hAnsi="Times New Roman"/>
                <w:sz w:val="13"/>
              </w:rPr>
              <w:t>death-contact cleansing</w:t>
            </w:r>
          </w:p>
        </w:tc>
        <w:tc>
          <w:tcPr>
            <w:tcW w:type="dxa" w:w="3561"/>
            <w:vAlign w:val="top"/>
          </w:tcPr>
          <w:p>
            <w:pPr>
              <w:spacing w:after="0" w:line="226" w:lineRule="auto"/>
            </w:pPr>
            <w:r>
              <w:rPr>
                <w:rFonts w:ascii="Times New Roman" w:hAnsi="Times New Roman"/>
                <w:sz w:val="13"/>
              </w:rPr>
              <w:t>Third and seventh days.</w:t>
            </w:r>
          </w:p>
        </w:tc>
      </w:tr>
      <w:tr>
        <w:tc>
          <w:tcPr>
            <w:tcW w:type="dxa" w:w="3561"/>
            <w:vAlign w:val="top"/>
          </w:tcPr>
          <w:p>
            <w:pPr>
              <w:spacing w:after="0" w:line="226" w:lineRule="auto"/>
            </w:pPr>
            <w:r>
              <w:rPr>
                <w:rFonts w:ascii="Times New Roman" w:hAnsi="Times New Roman"/>
                <w:sz w:val="13"/>
              </w:rPr>
              <w:t>Num. 31:22</w:t>
            </w:r>
          </w:p>
        </w:tc>
        <w:tc>
          <w:tcPr>
            <w:tcW w:type="dxa" w:w="3561"/>
            <w:vAlign w:val="top"/>
          </w:tcPr>
          <w:p>
            <w:pPr>
              <w:spacing w:after="0" w:line="226" w:lineRule="auto"/>
            </w:pPr>
            <w:r>
              <w:rPr>
                <w:rFonts w:ascii="Times New Roman" w:hAnsi="Times New Roman"/>
                <w:sz w:val="13"/>
              </w:rPr>
              <w:t>nechosheth</w:t>
            </w:r>
          </w:p>
        </w:tc>
        <w:tc>
          <w:tcPr>
            <w:tcW w:type="dxa" w:w="3561"/>
            <w:vAlign w:val="top"/>
          </w:tcPr>
          <w:p>
            <w:pPr>
              <w:spacing w:after="0" w:line="226" w:lineRule="auto"/>
            </w:pPr>
            <w:r>
              <w:rPr>
                <w:rFonts w:ascii="Times New Roman" w:hAnsi="Times New Roman"/>
                <w:sz w:val="13"/>
              </w:rPr>
              <w:t>Copper/bronze; KJV “brass.”</w:t>
            </w:r>
          </w:p>
        </w:tc>
      </w:tr>
      <w:tr>
        <w:tc>
          <w:tcPr>
            <w:tcW w:type="dxa" w:w="3561"/>
            <w:vAlign w:val="top"/>
          </w:tcPr>
          <w:p>
            <w:pPr>
              <w:spacing w:after="0" w:line="226" w:lineRule="auto"/>
            </w:pPr>
            <w:r>
              <w:rPr>
                <w:rFonts w:ascii="Times New Roman" w:hAnsi="Times New Roman"/>
                <w:sz w:val="13"/>
              </w:rPr>
              <w:t>Num. 31:23</w:t>
            </w:r>
          </w:p>
        </w:tc>
        <w:tc>
          <w:tcPr>
            <w:tcW w:type="dxa" w:w="3561"/>
            <w:vAlign w:val="top"/>
          </w:tcPr>
          <w:p>
            <w:pPr>
              <w:spacing w:after="0" w:line="226" w:lineRule="auto"/>
            </w:pPr>
            <w:r>
              <w:rPr>
                <w:rFonts w:ascii="Times New Roman" w:hAnsi="Times New Roman"/>
                <w:sz w:val="13"/>
              </w:rPr>
              <w:t>fire + water of separation</w:t>
            </w:r>
          </w:p>
        </w:tc>
        <w:tc>
          <w:tcPr>
            <w:tcW w:type="dxa" w:w="3561"/>
            <w:vAlign w:val="top"/>
          </w:tcPr>
          <w:p>
            <w:pPr>
              <w:spacing w:after="0" w:line="226" w:lineRule="auto"/>
            </w:pPr>
            <w:r>
              <w:rPr>
                <w:rFonts w:ascii="Times New Roman" w:hAnsi="Times New Roman"/>
                <w:sz w:val="13"/>
              </w:rPr>
              <w:t>Ceremonial purification.</w:t>
            </w:r>
          </w:p>
        </w:tc>
      </w:tr>
      <w:tr>
        <w:tc>
          <w:tcPr>
            <w:tcW w:type="dxa" w:w="3561"/>
            <w:vAlign w:val="top"/>
          </w:tcPr>
          <w:p>
            <w:pPr>
              <w:spacing w:after="0" w:line="226" w:lineRule="auto"/>
            </w:pPr>
            <w:r>
              <w:rPr>
                <w:rFonts w:ascii="Times New Roman" w:hAnsi="Times New Roman"/>
                <w:sz w:val="13"/>
              </w:rPr>
              <w:t>Num. 31:27</w:t>
            </w:r>
          </w:p>
        </w:tc>
        <w:tc>
          <w:tcPr>
            <w:tcW w:type="dxa" w:w="3561"/>
            <w:vAlign w:val="top"/>
          </w:tcPr>
          <w:p>
            <w:pPr>
              <w:spacing w:after="0" w:line="226" w:lineRule="auto"/>
            </w:pPr>
            <w:r>
              <w:rPr>
                <w:rFonts w:ascii="Times New Roman" w:hAnsi="Times New Roman"/>
                <w:sz w:val="13"/>
              </w:rPr>
              <w:t>two equal halves</w:t>
            </w:r>
          </w:p>
        </w:tc>
        <w:tc>
          <w:tcPr>
            <w:tcW w:type="dxa" w:w="3561"/>
            <w:vAlign w:val="top"/>
          </w:tcPr>
          <w:p>
            <w:pPr>
              <w:spacing w:after="0" w:line="226" w:lineRule="auto"/>
            </w:pPr>
            <w:r>
              <w:rPr>
                <w:rFonts w:ascii="Times New Roman" w:hAnsi="Times New Roman"/>
                <w:sz w:val="13"/>
              </w:rPr>
              <w:t>Warriors / congregation.</w:t>
            </w:r>
          </w:p>
        </w:tc>
      </w:tr>
      <w:tr>
        <w:tc>
          <w:tcPr>
            <w:tcW w:type="dxa" w:w="3561"/>
            <w:vAlign w:val="top"/>
          </w:tcPr>
          <w:p>
            <w:pPr>
              <w:spacing w:after="0" w:line="226" w:lineRule="auto"/>
            </w:pPr>
            <w:r>
              <w:rPr>
                <w:rFonts w:ascii="Times New Roman" w:hAnsi="Times New Roman"/>
                <w:sz w:val="13"/>
              </w:rPr>
              <w:t>Num. 31:28</w:t>
            </w:r>
          </w:p>
        </w:tc>
        <w:tc>
          <w:tcPr>
            <w:tcW w:type="dxa" w:w="3561"/>
            <w:vAlign w:val="top"/>
          </w:tcPr>
          <w:p>
            <w:pPr>
              <w:spacing w:after="0" w:line="226" w:lineRule="auto"/>
            </w:pPr>
            <w:r>
              <w:rPr>
                <w:rFonts w:ascii="Times New Roman" w:hAnsi="Times New Roman"/>
                <w:sz w:val="13"/>
              </w:rPr>
              <w:t>1/500</w:t>
            </w:r>
          </w:p>
        </w:tc>
        <w:tc>
          <w:tcPr>
            <w:tcW w:type="dxa" w:w="3561"/>
            <w:vAlign w:val="top"/>
          </w:tcPr>
          <w:p>
            <w:pPr>
              <w:spacing w:after="0" w:line="226" w:lineRule="auto"/>
            </w:pPr>
            <w:r>
              <w:rPr>
                <w:rFonts w:ascii="Times New Roman" w:hAnsi="Times New Roman"/>
                <w:sz w:val="13"/>
              </w:rPr>
              <w:t>Warrior-half tribute to Yahweh/Eleazar.</w:t>
            </w:r>
          </w:p>
        </w:tc>
      </w:tr>
      <w:tr>
        <w:tc>
          <w:tcPr>
            <w:tcW w:type="dxa" w:w="3561"/>
            <w:vAlign w:val="top"/>
          </w:tcPr>
          <w:p>
            <w:pPr>
              <w:spacing w:after="0" w:line="226" w:lineRule="auto"/>
            </w:pPr>
            <w:r>
              <w:rPr>
                <w:rFonts w:ascii="Times New Roman" w:hAnsi="Times New Roman"/>
                <w:sz w:val="13"/>
              </w:rPr>
              <w:t>Num. 31:30</w:t>
            </w:r>
          </w:p>
        </w:tc>
        <w:tc>
          <w:tcPr>
            <w:tcW w:type="dxa" w:w="3561"/>
            <w:vAlign w:val="top"/>
          </w:tcPr>
          <w:p>
            <w:pPr>
              <w:spacing w:after="0" w:line="226" w:lineRule="auto"/>
            </w:pPr>
            <w:r>
              <w:rPr>
                <w:rFonts w:ascii="Times New Roman" w:hAnsi="Times New Roman"/>
                <w:sz w:val="13"/>
              </w:rPr>
              <w:t>1/50</w:t>
            </w:r>
          </w:p>
        </w:tc>
        <w:tc>
          <w:tcPr>
            <w:tcW w:type="dxa" w:w="3561"/>
            <w:vAlign w:val="top"/>
          </w:tcPr>
          <w:p>
            <w:pPr>
              <w:spacing w:after="0" w:line="226" w:lineRule="auto"/>
            </w:pPr>
            <w:r>
              <w:rPr>
                <w:rFonts w:ascii="Times New Roman" w:hAnsi="Times New Roman"/>
                <w:sz w:val="13"/>
              </w:rPr>
              <w:t>Congregation-half levy to Levites.</w:t>
            </w:r>
          </w:p>
        </w:tc>
      </w:tr>
      <w:tr>
        <w:tc>
          <w:tcPr>
            <w:tcW w:type="dxa" w:w="3561"/>
            <w:vAlign w:val="top"/>
          </w:tcPr>
          <w:p>
            <w:pPr>
              <w:spacing w:after="0" w:line="226" w:lineRule="auto"/>
            </w:pPr>
            <w:r>
              <w:rPr>
                <w:rFonts w:ascii="Times New Roman" w:hAnsi="Times New Roman"/>
                <w:sz w:val="13"/>
              </w:rPr>
              <w:t>Num. 31:32–35</w:t>
            </w:r>
          </w:p>
        </w:tc>
        <w:tc>
          <w:tcPr>
            <w:tcW w:type="dxa" w:w="3561"/>
            <w:vAlign w:val="top"/>
          </w:tcPr>
          <w:p>
            <w:pPr>
              <w:spacing w:after="0" w:line="226" w:lineRule="auto"/>
            </w:pPr>
            <w:r>
              <w:rPr>
                <w:rFonts w:ascii="Times New Roman" w:hAnsi="Times New Roman"/>
                <w:sz w:val="13"/>
              </w:rPr>
              <w:t>675,000 / 72,000 / 61,000 / 32,000</w:t>
            </w:r>
          </w:p>
        </w:tc>
        <w:tc>
          <w:tcPr>
            <w:tcW w:type="dxa" w:w="3561"/>
            <w:vAlign w:val="top"/>
          </w:tcPr>
          <w:p>
            <w:pPr>
              <w:spacing w:after="0" w:line="226" w:lineRule="auto"/>
            </w:pPr>
            <w:r>
              <w:rPr>
                <w:rFonts w:ascii="Times New Roman" w:hAnsi="Times New Roman"/>
                <w:sz w:val="13"/>
              </w:rPr>
              <w:t>Total prey categories.</w:t>
            </w:r>
          </w:p>
        </w:tc>
      </w:tr>
      <w:tr>
        <w:tc>
          <w:tcPr>
            <w:tcW w:type="dxa" w:w="3561"/>
            <w:vAlign w:val="top"/>
          </w:tcPr>
          <w:p>
            <w:pPr>
              <w:spacing w:after="0" w:line="226" w:lineRule="auto"/>
            </w:pPr>
            <w:r>
              <w:rPr>
                <w:rFonts w:ascii="Times New Roman" w:hAnsi="Times New Roman"/>
                <w:sz w:val="13"/>
              </w:rPr>
              <w:t>Num. 31:36–40</w:t>
            </w:r>
          </w:p>
        </w:tc>
        <w:tc>
          <w:tcPr>
            <w:tcW w:type="dxa" w:w="3561"/>
            <w:vAlign w:val="top"/>
          </w:tcPr>
          <w:p>
            <w:pPr>
              <w:spacing w:after="0" w:line="226" w:lineRule="auto"/>
            </w:pPr>
            <w:r>
              <w:rPr>
                <w:rFonts w:ascii="Times New Roman" w:hAnsi="Times New Roman"/>
                <w:sz w:val="13"/>
              </w:rPr>
              <w:t>337,500 / 36,000 / 30,500 / 16,000</w:t>
            </w:r>
          </w:p>
        </w:tc>
        <w:tc>
          <w:tcPr>
            <w:tcW w:type="dxa" w:w="3561"/>
            <w:vAlign w:val="top"/>
          </w:tcPr>
          <w:p>
            <w:pPr>
              <w:spacing w:after="0" w:line="226" w:lineRule="auto"/>
            </w:pPr>
            <w:r>
              <w:rPr>
                <w:rFonts w:ascii="Times New Roman" w:hAnsi="Times New Roman"/>
                <w:sz w:val="13"/>
              </w:rPr>
              <w:t>Warrior half.</w:t>
            </w:r>
          </w:p>
        </w:tc>
      </w:tr>
      <w:tr>
        <w:tc>
          <w:tcPr>
            <w:tcW w:type="dxa" w:w="3561"/>
            <w:vAlign w:val="top"/>
          </w:tcPr>
          <w:p>
            <w:pPr>
              <w:spacing w:after="0" w:line="226" w:lineRule="auto"/>
            </w:pPr>
            <w:r>
              <w:rPr>
                <w:rFonts w:ascii="Times New Roman" w:hAnsi="Times New Roman"/>
                <w:sz w:val="13"/>
              </w:rPr>
              <w:t>Num. 31:38–40</w:t>
            </w:r>
          </w:p>
        </w:tc>
        <w:tc>
          <w:tcPr>
            <w:tcW w:type="dxa" w:w="3561"/>
            <w:vAlign w:val="top"/>
          </w:tcPr>
          <w:p>
            <w:pPr>
              <w:spacing w:after="0" w:line="226" w:lineRule="auto"/>
            </w:pPr>
            <w:r>
              <w:rPr>
                <w:rFonts w:ascii="Times New Roman" w:hAnsi="Times New Roman"/>
                <w:sz w:val="13"/>
              </w:rPr>
              <w:t>675 / 72 / 61 / 32</w:t>
            </w:r>
          </w:p>
        </w:tc>
        <w:tc>
          <w:tcPr>
            <w:tcW w:type="dxa" w:w="3561"/>
            <w:vAlign w:val="top"/>
          </w:tcPr>
          <w:p>
            <w:pPr>
              <w:spacing w:after="0" w:line="226" w:lineRule="auto"/>
            </w:pPr>
            <w:r>
              <w:rPr>
                <w:rFonts w:ascii="Times New Roman" w:hAnsi="Times New Roman"/>
                <w:sz w:val="13"/>
              </w:rPr>
              <w:t>Yahweh’s 1/500 tribute.</w:t>
            </w:r>
          </w:p>
        </w:tc>
      </w:tr>
      <w:tr>
        <w:tc>
          <w:tcPr>
            <w:tcW w:type="dxa" w:w="3561"/>
            <w:vAlign w:val="top"/>
          </w:tcPr>
          <w:p>
            <w:pPr>
              <w:spacing w:after="0" w:line="226" w:lineRule="auto"/>
            </w:pPr>
            <w:r>
              <w:rPr>
                <w:rFonts w:ascii="Times New Roman" w:hAnsi="Times New Roman"/>
                <w:sz w:val="13"/>
              </w:rPr>
              <w:t>Num. 31:47</w:t>
            </w:r>
          </w:p>
        </w:tc>
        <w:tc>
          <w:tcPr>
            <w:tcW w:type="dxa" w:w="3561"/>
            <w:vAlign w:val="top"/>
          </w:tcPr>
          <w:p>
            <w:pPr>
              <w:spacing w:after="0" w:line="226" w:lineRule="auto"/>
            </w:pPr>
            <w:r>
              <w:rPr>
                <w:rFonts w:ascii="Times New Roman" w:hAnsi="Times New Roman"/>
                <w:sz w:val="13"/>
              </w:rPr>
              <w:t>6,750 / 720 / 610 / 320</w:t>
            </w:r>
          </w:p>
        </w:tc>
        <w:tc>
          <w:tcPr>
            <w:tcW w:type="dxa" w:w="3561"/>
            <w:vAlign w:val="top"/>
          </w:tcPr>
          <w:p>
            <w:pPr>
              <w:spacing w:after="0" w:line="226" w:lineRule="auto"/>
            </w:pPr>
            <w:r>
              <w:rPr>
                <w:rFonts w:ascii="Times New Roman" w:hAnsi="Times New Roman"/>
                <w:sz w:val="13"/>
              </w:rPr>
              <w:t>Levite 1/50 levy from congregation half.</w:t>
            </w:r>
          </w:p>
        </w:tc>
      </w:tr>
      <w:tr>
        <w:tc>
          <w:tcPr>
            <w:tcW w:type="dxa" w:w="3561"/>
            <w:vAlign w:val="top"/>
          </w:tcPr>
          <w:p>
            <w:pPr>
              <w:spacing w:after="0" w:line="226" w:lineRule="auto"/>
            </w:pPr>
            <w:r>
              <w:rPr>
                <w:rFonts w:ascii="Times New Roman" w:hAnsi="Times New Roman"/>
                <w:sz w:val="13"/>
              </w:rPr>
              <w:t>Num. 31:49</w:t>
            </w:r>
          </w:p>
        </w:tc>
        <w:tc>
          <w:tcPr>
            <w:tcW w:type="dxa" w:w="3561"/>
            <w:vAlign w:val="top"/>
          </w:tcPr>
          <w:p>
            <w:pPr>
              <w:spacing w:after="0" w:line="226" w:lineRule="auto"/>
            </w:pPr>
            <w:r>
              <w:rPr>
                <w:rFonts w:ascii="Times New Roman" w:hAnsi="Times New Roman"/>
                <w:sz w:val="13"/>
              </w:rPr>
              <w:t>none missing</w:t>
            </w:r>
          </w:p>
        </w:tc>
        <w:tc>
          <w:tcPr>
            <w:tcW w:type="dxa" w:w="3561"/>
            <w:vAlign w:val="top"/>
          </w:tcPr>
          <w:p>
            <w:pPr>
              <w:spacing w:after="0" w:line="226" w:lineRule="auto"/>
            </w:pPr>
            <w:r>
              <w:rPr>
                <w:rFonts w:ascii="Times New Roman" w:hAnsi="Times New Roman"/>
                <w:sz w:val="13"/>
              </w:rPr>
              <w:t>All Israelite combatants accounted for.</w:t>
            </w:r>
          </w:p>
        </w:tc>
      </w:tr>
      <w:tr>
        <w:tc>
          <w:tcPr>
            <w:tcW w:type="dxa" w:w="3561"/>
            <w:vAlign w:val="top"/>
          </w:tcPr>
          <w:p>
            <w:pPr>
              <w:spacing w:after="0" w:line="226" w:lineRule="auto"/>
            </w:pPr>
            <w:r>
              <w:rPr>
                <w:rFonts w:ascii="Times New Roman" w:hAnsi="Times New Roman"/>
                <w:sz w:val="13"/>
              </w:rPr>
              <w:t>Num. 31:52</w:t>
            </w:r>
          </w:p>
        </w:tc>
        <w:tc>
          <w:tcPr>
            <w:tcW w:type="dxa" w:w="3561"/>
            <w:vAlign w:val="top"/>
          </w:tcPr>
          <w:p>
            <w:pPr>
              <w:spacing w:after="0" w:line="226" w:lineRule="auto"/>
            </w:pPr>
            <w:r>
              <w:rPr>
                <w:rFonts w:ascii="Times New Roman" w:hAnsi="Times New Roman"/>
                <w:sz w:val="13"/>
              </w:rPr>
              <w:t>16,750 shekels gold</w:t>
            </w:r>
          </w:p>
        </w:tc>
        <w:tc>
          <w:tcPr>
            <w:tcW w:type="dxa" w:w="3561"/>
            <w:vAlign w:val="top"/>
          </w:tcPr>
          <w:p>
            <w:pPr>
              <w:spacing w:after="0" w:line="226" w:lineRule="auto"/>
            </w:pPr>
            <w:r>
              <w:rPr>
                <w:rFonts w:ascii="Times New Roman" w:hAnsi="Times New Roman"/>
                <w:sz w:val="13"/>
              </w:rPr>
              <w:t>Officers’ offering.</w:t>
            </w:r>
          </w:p>
        </w:tc>
      </w:tr>
      <w:tr>
        <w:tc>
          <w:tcPr>
            <w:tcW w:type="dxa" w:w="3561"/>
            <w:vAlign w:val="top"/>
          </w:tcPr>
          <w:p>
            <w:pPr>
              <w:spacing w:after="0" w:line="226" w:lineRule="auto"/>
            </w:pPr>
            <w:r>
              <w:rPr>
                <w:rFonts w:ascii="Times New Roman" w:hAnsi="Times New Roman"/>
                <w:sz w:val="13"/>
              </w:rPr>
              <w:t>Num. 31:54</w:t>
            </w:r>
          </w:p>
        </w:tc>
        <w:tc>
          <w:tcPr>
            <w:tcW w:type="dxa" w:w="3561"/>
            <w:vAlign w:val="top"/>
          </w:tcPr>
          <w:p>
            <w:pPr>
              <w:spacing w:after="0" w:line="226" w:lineRule="auto"/>
            </w:pPr>
            <w:r>
              <w:rPr>
                <w:rFonts w:ascii="Times New Roman" w:hAnsi="Times New Roman"/>
                <w:sz w:val="13"/>
              </w:rPr>
              <w:t>memorial before Yahweh</w:t>
            </w:r>
          </w:p>
        </w:tc>
        <w:tc>
          <w:tcPr>
            <w:tcW w:type="dxa" w:w="3561"/>
            <w:vAlign w:val="top"/>
          </w:tcPr>
          <w:p>
            <w:pPr>
              <w:spacing w:after="0" w:line="226" w:lineRule="auto"/>
            </w:pPr>
            <w:r>
              <w:rPr>
                <w:rFonts w:ascii="Times New Roman" w:hAnsi="Times New Roman"/>
                <w:sz w:val="13"/>
              </w:rPr>
              <w:t>Gold placed at Tent.</w:t>
            </w:r>
          </w:p>
        </w:tc>
      </w:tr>
    </w:tbl>
    <w:p>
      <w:pPr>
        <w:pStyle w:val="Heading1"/>
      </w:pPr>
      <w:r>
        <w:t>RESIDUAL UNCERTAINTIES</w:t>
      </w:r>
    </w:p>
    <w:p>
      <w:pPr/>
      <w:r>
        <w:rPr>
          <w:i w:val="0"/>
        </w:rPr>
        <w:t>The exact identity of the “holy instruments,” the internal command structure of the army and the wider historical scope of this Midianite group are not fully stated. The severe treatment of captives in verses 17–18 is reported as the text gives it; the chapter does not supply a complete philosophical defence of ancient theocratic warfare. Mansfield’s claim that Joshua accompanied Phinehas and that Christ himself required purification from defiling mortal nature is not retained as factual exposition.</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31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9"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6" w:after="12"/>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30" w:after="12"/>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