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32</w:t>
      </w:r>
    </w:p>
    <w:p>
      <w:pPr>
        <w:pStyle w:val="Subtitle"/>
      </w:pPr>
      <w:r>
        <w:t>GAD AND REUBEN SEEK EAST-JORDAN LAND • “SHALL YOUR BRETHREN GO TO WAR, AND SHALL YE SIT HERE?” • KADESH WARNING • ARMED BEFORE YAHWEH • “YOUR SIN WILL FIND YOU OUT” • GAD, REUBEN AND HALF MANASSEH</w:t>
      </w:r>
    </w:p>
    <w:p>
      <w:pPr/>
      <w:r>
        <w:rPr>
          <w:i/>
        </w:rPr>
        <w:t>H. P. Mansfield Bible notes — checked and arranged in verse-by-verse Expositor style</w:t>
      </w:r>
    </w:p>
    <w:p>
      <w:pPr/>
      <w:r>
        <w:rPr>
          <w:i w:val="0"/>
        </w:rPr>
        <w:t>Source: HPB 03-Lev12-Num36.PDF, mainly pp. 89–90; cross-checked with Mansfield’s Numbers Expositor Chapter 32, Deuteronomy 3 and Joshua 4; 22.</w:t>
      </w:r>
    </w:p>
    <w:p>
      <w:pPr>
        <w:pStyle w:val="Heading1"/>
      </w:pPr>
      <w:r>
        <w:t>CHAPTER OVERVIEW</w:t>
      </w:r>
    </w:p>
    <w:p>
      <w:pPr/>
      <w:r>
        <w:rPr>
          <w:i w:val="0"/>
        </w:rPr>
        <w:t>Gad and Reuben see that the conquered territory east of Jordan is exceptionally suitable for their large herds and ask to receive it instead of a western inheritance. Moses immediately fears a repetition of Kadesh: if they withdraw from the coming war, the rest of Israel may lose heart.</w:t>
      </w:r>
    </w:p>
    <w:p>
      <w:pPr/>
      <w:r>
        <w:rPr>
          <w:i w:val="0"/>
        </w:rPr>
        <w:t>The tribes answer by binding themselves to fight until their brethren are settled. Moses accepts the eastern allotment only on that condition. Material suitability is therefore permitted, but not at the expense of shared covenant responsibility.</w:t>
      </w:r>
    </w:p>
    <w:p>
      <w:pPr>
        <w:pStyle w:val="Heading1"/>
      </w:pPr>
      <w:r>
        <w:t>THE REQUEST — NUMBERS 32:1–5</w:t>
      </w:r>
    </w:p>
    <w:p>
      <w:pPr>
        <w:pStyle w:val="Heading2"/>
      </w:pPr>
      <w:r>
        <w:t>Numbers 32:1 — cattle and suitable land</w:t>
      </w:r>
    </w:p>
    <w:p>
      <w:pPr/>
      <w:r>
        <w:rPr>
          <w:i w:val="0"/>
        </w:rPr>
        <w:t>The children of Reuben and Gad possess a very great multitude of livestock and observe that Jazer and Gilead are good livestock country.</w:t>
      </w:r>
    </w:p>
    <w:p>
      <w:pPr/>
      <w:r>
        <w:rPr>
          <w:i w:val="0"/>
        </w:rPr>
        <w:t>Their herds can include accumulated stock and substantial recent war spoil; Scripture does not require a single source for all animals.</w:t>
      </w:r>
    </w:p>
    <w:p>
      <w:pPr>
        <w:pStyle w:val="Heading2"/>
      </w:pPr>
      <w:r>
        <w:t>Numbers 32:2–4 — conquered cities listed</w:t>
      </w:r>
    </w:p>
    <w:p>
      <w:pPr/>
      <w:r>
        <w:rPr>
          <w:i w:val="0"/>
        </w:rPr>
        <w:t>Representatives approach Moses, Eleazar and Israel’s princes and list towns in the territories Yahweh has struck before Israel.</w:t>
      </w:r>
    </w:p>
    <w:p>
      <w:pPr/>
      <w:r>
        <w:rPr>
          <w:i w:val="0"/>
        </w:rPr>
        <w:t>Exact archaeological identification of every town remains uncertain.</w:t>
      </w:r>
    </w:p>
    <w:p>
      <w:pPr>
        <w:pStyle w:val="Heading2"/>
      </w:pPr>
      <w:r>
        <w:t>Numbers 32:5 — “bring us not over Jordan”</w:t>
      </w:r>
    </w:p>
    <w:p>
      <w:pPr/>
      <w:r>
        <w:rPr>
          <w:i w:val="0"/>
        </w:rPr>
        <w:t>They ask for the eastern land as their possession rather than being assigned land across the Jordan.</w:t>
      </w:r>
    </w:p>
    <w:p>
      <w:pPr/>
      <w:r>
        <w:rPr>
          <w:i w:val="0"/>
        </w:rPr>
        <w:t>The motive is practical and material, but the request is not yet explicitly a refusal to help in the conquest. Moses fears that implication and confronts it.</w:t>
      </w:r>
    </w:p>
    <w:p>
      <w:pPr>
        <w:pStyle w:val="Heading1"/>
      </w:pPr>
      <w:r>
        <w:t>MOSES’ WARNING — NUMBERS 32:6–15</w:t>
      </w:r>
    </w:p>
    <w:p>
      <w:pPr>
        <w:pStyle w:val="Heading2"/>
      </w:pPr>
      <w:r>
        <w:t>Numbers 32:6 — shared responsibility</w:t>
      </w:r>
    </w:p>
    <w:p>
      <w:pPr/>
      <w:r>
        <w:rPr>
          <w:i w:val="0"/>
        </w:rPr>
        <w:t>“Shall your brethren go to war, and shall ye sit here?” Moses will not allow one group to secure comfort while the others carry the danger of conquest.</w:t>
      </w:r>
    </w:p>
    <w:p>
      <w:pPr>
        <w:pStyle w:val="Heading2"/>
      </w:pPr>
      <w:r>
        <w:t>Numbers 32:7–9 — Kadesh could happen again</w:t>
      </w:r>
    </w:p>
    <w:p>
      <w:pPr/>
      <w:r>
        <w:rPr>
          <w:i w:val="0"/>
        </w:rPr>
        <w:t>Moses warns that their withdrawal could discourage Israel from crossing, just as the ten spies discouraged the nation after searching the land from Kadesh-barnea.</w:t>
      </w:r>
    </w:p>
    <w:p>
      <w:pPr/>
      <w:r>
        <w:rPr>
          <w:i w:val="0"/>
        </w:rPr>
        <w:t>The Hebrew in verse 7 carries the sense of discouraging/dissuading the heart.</w:t>
      </w:r>
    </w:p>
    <w:p>
      <w:pPr>
        <w:pStyle w:val="Heading2"/>
      </w:pPr>
      <w:r>
        <w:t>Numbers 32:10–13 — the earlier generation’s sentence</w:t>
      </w:r>
    </w:p>
    <w:p>
      <w:pPr/>
      <w:r>
        <w:rPr>
          <w:i w:val="0"/>
        </w:rPr>
        <w:t>Moses recalls Yahweh’s oath that the unbelieving men twenty years old and upward would not see the land, except Caleb and Joshua, and that Israel wandered forty years until that generation was consumed.</w:t>
      </w:r>
    </w:p>
    <w:p>
      <w:pPr>
        <w:pStyle w:val="Heading2"/>
      </w:pPr>
      <w:r>
        <w:t>Numbers 32:14–15 — do not renew the rebellion</w:t>
      </w:r>
    </w:p>
    <w:p>
      <w:pPr/>
      <w:r>
        <w:rPr>
          <w:i w:val="0"/>
        </w:rPr>
        <w:t>He warns that if the present generation turns away again, it will provoke further wilderness judgment and harm the entire people.</w:t>
      </w:r>
    </w:p>
    <w:p>
      <w:pPr/>
      <w:r>
        <w:rPr>
          <w:i w:val="0"/>
        </w:rPr>
        <w:t>Private choices can have communal effects.</w:t>
      </w:r>
    </w:p>
    <w:p>
      <w:pPr>
        <w:pStyle w:val="Heading1"/>
      </w:pPr>
      <w:r>
        <w:t>THE TRIBES COMMIT THEMSELVES — NUMBERS 32:16–19</w:t>
      </w:r>
    </w:p>
    <w:p>
      <w:pPr>
        <w:pStyle w:val="Heading2"/>
      </w:pPr>
      <w:r>
        <w:t>Numbers 32:16 — sheepfolds and cities</w:t>
      </w:r>
    </w:p>
    <w:p>
      <w:pPr/>
      <w:r>
        <w:rPr>
          <w:i w:val="0"/>
        </w:rPr>
        <w:t>They propose to build/repair sheepfolds for livestock and fortified cities for their dependants.</w:t>
      </w:r>
    </w:p>
    <w:p>
      <w:pPr/>
      <w:r>
        <w:rPr>
          <w:i w:val="0"/>
        </w:rPr>
        <w:t>The Hebrew banah is simply build; because the territory already contained cities, rebuilding/fortifying is contextually plausible but not lexically mandatory.</w:t>
      </w:r>
    </w:p>
    <w:p>
      <w:pPr>
        <w:pStyle w:val="Heading2"/>
      </w:pPr>
      <w:r>
        <w:t>Numbers 32:17 — ready armed before Israel</w:t>
      </w:r>
    </w:p>
    <w:p>
      <w:pPr/>
      <w:r>
        <w:rPr>
          <w:i w:val="0"/>
        </w:rPr>
        <w:t>They promise to equip themselves quickly and go armed before the children of Israel until the other tribes reach their places, while their families remain in fortified towns.</w:t>
      </w:r>
    </w:p>
    <w:p>
      <w:pPr/>
      <w:r>
        <w:rPr>
          <w:i w:val="0"/>
        </w:rPr>
        <w:t>Joshua 4:12–13 later records about 40,000 armed men from Reuben, Gad and half-Manasseh crossing for war; the promise did not require every military-age male to leave the eastern settlements undefended.</w:t>
      </w:r>
    </w:p>
    <w:p>
      <w:pPr>
        <w:pStyle w:val="Heading2"/>
      </w:pPr>
      <w:r>
        <w:t>Numbers 32:18–19 — they will not return early</w:t>
      </w:r>
    </w:p>
    <w:p>
      <w:pPr/>
      <w:r>
        <w:rPr>
          <w:i w:val="0"/>
        </w:rPr>
        <w:t>They will not return home until the children of Israel have received their inheritances and acknowledge their own inheritance lies east of Jordan.</w:t>
      </w:r>
    </w:p>
    <w:p>
      <w:pPr>
        <w:pStyle w:val="Heading1"/>
      </w:pPr>
      <w:r>
        <w:t>THE CONDITION ACCEPTED — NUMBERS 32:20–24</w:t>
      </w:r>
    </w:p>
    <w:p>
      <w:pPr>
        <w:pStyle w:val="Heading2"/>
      </w:pPr>
      <w:r>
        <w:t>Numbers 32:20–22 — Moses reframes it “before Yahweh”</w:t>
      </w:r>
    </w:p>
    <w:p>
      <w:pPr/>
      <w:r>
        <w:rPr>
          <w:i w:val="0"/>
        </w:rPr>
        <w:t>Moses accepts the proposal if they go armed “before Yahweh” until He has driven out His enemies and the land is subdued.</w:t>
      </w:r>
    </w:p>
    <w:p>
      <w:pPr/>
      <w:r>
        <w:rPr>
          <w:i w:val="0"/>
        </w:rPr>
        <w:t>What the tribes described as service before Israel is placed in its deeper covenant setting: they fight before Yahweh.</w:t>
      </w:r>
    </w:p>
    <w:p>
      <w:pPr>
        <w:pStyle w:val="Heading2"/>
      </w:pPr>
      <w:r>
        <w:t>Numbers 32:23 — “be sure your sin will find you out”</w:t>
      </w:r>
    </w:p>
    <w:p>
      <w:pPr/>
      <w:r>
        <w:rPr>
          <w:i w:val="0"/>
        </w:rPr>
        <w:t>If they fail their promise they sin against Yahweh, and Moses warns, “be sure your sin will find you out.”</w:t>
      </w:r>
    </w:p>
    <w:p>
      <w:pPr/>
      <w:r>
        <w:rPr>
          <w:i w:val="0"/>
        </w:rPr>
        <w:t>The phrase is not a mystical claim that sin is a supernatural detective. It states the certainty that covenant breach will overtake/expose the offender and bring its consequences.</w:t>
      </w:r>
    </w:p>
    <w:p>
      <w:pPr>
        <w:pStyle w:val="Heading2"/>
      </w:pPr>
      <w:r>
        <w:t>Numbers 32:24 — build and fulfil your word</w:t>
      </w:r>
    </w:p>
    <w:p>
      <w:pPr/>
      <w:r>
        <w:rPr>
          <w:i w:val="0"/>
        </w:rPr>
        <w:t>They may establish cities and folds, but must do what has proceeded from their mouth—linking naturally with the vow/accountability principle of chapter 30.</w:t>
      </w:r>
    </w:p>
    <w:p>
      <w:pPr>
        <w:pStyle w:val="Heading1"/>
      </w:pPr>
      <w:r>
        <w:t>PUBLIC AGREEMENT — NUMBERS 32:25–32</w:t>
      </w:r>
    </w:p>
    <w:p>
      <w:pPr>
        <w:pStyle w:val="Heading2"/>
      </w:pPr>
      <w:r>
        <w:t>Numbers 32:25–27 — formal acceptance</w:t>
      </w:r>
    </w:p>
    <w:p>
      <w:pPr/>
      <w:r>
        <w:rPr>
          <w:i w:val="0"/>
        </w:rPr>
        <w:t>Gad and Reuben formally agree that families/livestock remain east while their armed men cross before Yahweh to battle.</w:t>
      </w:r>
    </w:p>
    <w:p>
      <w:pPr>
        <w:pStyle w:val="Heading2"/>
      </w:pPr>
      <w:r>
        <w:t>Numbers 32:28–30 — arrangement communicated to successors</w:t>
      </w:r>
    </w:p>
    <w:p>
      <w:pPr/>
      <w:r>
        <w:rPr>
          <w:i w:val="0"/>
        </w:rPr>
        <w:t>Moses gives Eleazar, Joshua and tribal heads the condition: if the eastern tribes cross armed and the land is subdued, they receive Gilead; if not, they must receive holdings in Canaan with the rest.</w:t>
      </w:r>
    </w:p>
    <w:p>
      <w:pPr/>
      <w:r>
        <w:rPr>
          <w:i w:val="0"/>
        </w:rPr>
        <w:t>The Masoretic wording does not say that civil war must follow. Mansfield’s appeal to a longer Septuagint reading as proof they would be forcibly transferred should remain textual speculation.</w:t>
      </w:r>
    </w:p>
    <w:p>
      <w:pPr>
        <w:pStyle w:val="Heading2"/>
      </w:pPr>
      <w:r>
        <w:t>Numbers 32:31–32 — “as Yahweh hath said”</w:t>
      </w:r>
    </w:p>
    <w:p>
      <w:pPr/>
      <w:r>
        <w:rPr>
          <w:i w:val="0"/>
        </w:rPr>
        <w:t>The tribes repeat their agreement before the public leadership.</w:t>
      </w:r>
    </w:p>
    <w:p>
      <w:pPr>
        <w:pStyle w:val="Heading1"/>
      </w:pPr>
      <w:r>
        <w:t>EASTERN ALLOTMENT — NUMBERS 32:33–42</w:t>
      </w:r>
    </w:p>
    <w:p>
      <w:pPr>
        <w:pStyle w:val="Heading2"/>
      </w:pPr>
      <w:r>
        <w:t>Numbers 32:33 — Gad, Reuben and half Manasseh</w:t>
      </w:r>
    </w:p>
    <w:p>
      <w:pPr/>
      <w:r>
        <w:rPr>
          <w:i w:val="0"/>
        </w:rPr>
        <w:t>Moses gives Sihon’s and Og’s conquered kingdoms to Gad, Reuben and half the tribe of Manasseh.</w:t>
      </w:r>
    </w:p>
    <w:p>
      <w:pPr/>
      <w:r>
        <w:rPr>
          <w:i w:val="0"/>
        </w:rPr>
        <w:t>Half-Manasseh appears at this stage even though Gad and Reuben initiated the request. Mansfield’s suggestion that Manasseh needed two geographical portions because Manasseh personally held Joseph’s firstborn double portion is incorrect. Joseph’s double tribal inheritance is expressed through Ephraim and Manasseh together.</w:t>
      </w:r>
    </w:p>
    <w:p>
      <w:pPr>
        <w:pStyle w:val="Heading2"/>
      </w:pPr>
      <w:r>
        <w:t>Numbers 32:34–38 — towns built/rebuilt and renamed</w:t>
      </w:r>
    </w:p>
    <w:p>
      <w:pPr/>
      <w:r>
        <w:rPr>
          <w:i w:val="0"/>
        </w:rPr>
        <w:t>Gad and Reuben build/rebuild and fortify named towns. Some names are changed, probably reflecting removal of pagan associations or new settlement identities, though the text does not explain every renaming.</w:t>
      </w:r>
    </w:p>
    <w:p>
      <w:pPr>
        <w:pStyle w:val="Heading2"/>
      </w:pPr>
      <w:r>
        <w:t>Numbers 32:39–42 — Machir, Jair and Nobah</w:t>
      </w:r>
    </w:p>
    <w:p>
      <w:pPr/>
      <w:r>
        <w:rPr>
          <w:i w:val="0"/>
        </w:rPr>
        <w:t>Descendants of Machir son of Manasseh conquer Gilead territory; Jair and Nobah take additional settlements and give their names to them.</w:t>
      </w:r>
    </w:p>
    <w:p>
      <w:pPr/>
      <w:r>
        <w:rPr>
          <w:i w:val="0"/>
        </w:rPr>
        <w:t>The northern conquests provide the immediate narrative basis for Manassite possession east of Jordan.</w:t>
      </w:r>
    </w:p>
    <w:p>
      <w:pPr>
        <w:pStyle w:val="Heading2"/>
      </w:pPr>
      <w:r>
        <w:t>Joshua 22 — the promise fulfilled</w:t>
      </w:r>
    </w:p>
    <w:p>
      <w:pPr/>
      <w:r>
        <w:rPr>
          <w:i w:val="0"/>
        </w:rPr>
        <w:t>After the western conquest, Joshua commends Reuben, Gad and half-Manasseh for keeping Moses’ command and sends them home to their eastern possession.</w:t>
      </w:r>
    </w:p>
    <w:p>
      <w:pPr/>
      <w:r>
        <w:rPr>
          <w:i w:val="0"/>
        </w:rPr>
        <w:t>This later passage confirms that their request did not finally become the faithless desertion Moses initially feared.</w:t>
      </w:r>
    </w:p>
    <w:p>
      <w:pPr>
        <w:pStyle w:val="Heading1"/>
      </w:pPr>
      <w:r>
        <w:t>PRINCIPAL THEMES</w:t>
      </w:r>
    </w:p>
    <w:p>
      <w:pPr>
        <w:ind w:left="259" w:hanging="202"/>
      </w:pPr>
      <w:r>
        <w:rPr>
          <w:b/>
        </w:rPr>
        <w:t xml:space="preserve">• </w:t>
      </w:r>
      <w:r>
        <w:t>Material suitability may be accepted only when it does not cancel shared responsibility.</w:t>
      </w:r>
    </w:p>
    <w:p>
      <w:pPr>
        <w:ind w:left="259" w:hanging="202"/>
      </w:pPr>
      <w:r>
        <w:rPr>
          <w:b/>
        </w:rPr>
        <w:t xml:space="preserve">• </w:t>
      </w:r>
      <w:r>
        <w:t>Moses initially interprets the request through the memory of Kadesh and its contagious discouragement.</w:t>
      </w:r>
    </w:p>
    <w:p>
      <w:pPr>
        <w:ind w:left="259" w:hanging="202"/>
      </w:pPr>
      <w:r>
        <w:rPr>
          <w:b/>
        </w:rPr>
        <w:t xml:space="preserve">• </w:t>
      </w:r>
      <w:r>
        <w:t>Gad and Reuben promise armed participation until their brethren are settled.</w:t>
      </w:r>
    </w:p>
    <w:p>
      <w:pPr>
        <w:ind w:left="259" w:hanging="202"/>
      </w:pPr>
      <w:r>
        <w:rPr>
          <w:b/>
        </w:rPr>
        <w:t xml:space="preserve">• </w:t>
      </w:r>
      <w:r>
        <w:t>Joshua 4 indicates a selected eastern force crossed, not necessarily every military-age male.</w:t>
      </w:r>
    </w:p>
    <w:p>
      <w:pPr>
        <w:ind w:left="259" w:hanging="202"/>
      </w:pPr>
      <w:r>
        <w:rPr>
          <w:b/>
        </w:rPr>
        <w:t xml:space="preserve">• </w:t>
      </w:r>
      <w:r>
        <w:t>Moses reframes the commitment as service “before Yahweh.”</w:t>
      </w:r>
    </w:p>
    <w:p>
      <w:pPr>
        <w:ind w:left="259" w:hanging="202"/>
      </w:pPr>
      <w:r>
        <w:rPr>
          <w:b/>
        </w:rPr>
        <w:t xml:space="preserve">• </w:t>
      </w:r>
      <w:r>
        <w:t>“Your sin will find you out” means covenant breach will certainly expose/overtake the offender.</w:t>
      </w:r>
    </w:p>
    <w:p>
      <w:pPr>
        <w:ind w:left="259" w:hanging="202"/>
      </w:pPr>
      <w:r>
        <w:rPr>
          <w:b/>
        </w:rPr>
        <w:t xml:space="preserve">• </w:t>
      </w:r>
      <w:r>
        <w:t>The Masoretic text does not state that failure would necessarily trigger civil war.</w:t>
      </w:r>
    </w:p>
    <w:p>
      <w:pPr>
        <w:ind w:left="259" w:hanging="202"/>
      </w:pPr>
      <w:r>
        <w:rPr>
          <w:b/>
        </w:rPr>
        <w:t xml:space="preserve">• </w:t>
      </w:r>
      <w:r>
        <w:t>Half-Manasseh’s eastern allotment is connected with its own conquests, not a separate firstborn double-portion entitlement for Manasseh.</w:t>
      </w:r>
    </w:p>
    <w:p>
      <w:pPr>
        <w:ind w:left="259" w:hanging="202"/>
      </w:pPr>
      <w:r>
        <w:rPr>
          <w:b/>
        </w:rPr>
        <w:t xml:space="preserve">• </w:t>
      </w:r>
      <w:r>
        <w:t>Joseph’s double inheritance is expressed through the two tribes Ephraim and Manasseh.</w:t>
      </w:r>
    </w:p>
    <w:p>
      <w:pPr>
        <w:ind w:left="259" w:hanging="202"/>
      </w:pPr>
      <w:r>
        <w:rPr>
          <w:b/>
        </w:rPr>
        <w:t xml:space="preserve">• </w:t>
      </w:r>
      <w:r>
        <w:t>Joshua 22 confirms the eastern tribes fulfilled their obligation.</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6" w:lineRule="auto"/>
            </w:pPr>
            <w:r>
              <w:rPr>
                <w:rFonts w:ascii="Times New Roman" w:hAnsi="Times New Roman"/>
                <w:sz w:val="13"/>
              </w:rPr>
              <w:t>Num. 32:1</w:t>
            </w:r>
          </w:p>
        </w:tc>
        <w:tc>
          <w:tcPr>
            <w:tcW w:type="dxa" w:w="3561"/>
            <w:vAlign w:val="top"/>
          </w:tcPr>
          <w:p>
            <w:pPr>
              <w:spacing w:after="0" w:line="226" w:lineRule="auto"/>
            </w:pPr>
            <w:r>
              <w:rPr>
                <w:rFonts w:ascii="Times New Roman" w:hAnsi="Times New Roman"/>
                <w:sz w:val="13"/>
              </w:rPr>
              <w:t>great livestock holdings</w:t>
            </w:r>
          </w:p>
        </w:tc>
        <w:tc>
          <w:tcPr>
            <w:tcW w:type="dxa" w:w="3561"/>
            <w:vAlign w:val="top"/>
          </w:tcPr>
          <w:p>
            <w:pPr>
              <w:spacing w:after="0" w:line="226" w:lineRule="auto"/>
            </w:pPr>
            <w:r>
              <w:rPr>
                <w:rFonts w:ascii="Times New Roman" w:hAnsi="Times New Roman"/>
                <w:sz w:val="13"/>
              </w:rPr>
              <w:t>Source may include retained herds and recent spoil.</w:t>
            </w:r>
          </w:p>
        </w:tc>
      </w:tr>
      <w:tr>
        <w:tc>
          <w:tcPr>
            <w:tcW w:type="dxa" w:w="3561"/>
            <w:vAlign w:val="top"/>
          </w:tcPr>
          <w:p>
            <w:pPr>
              <w:spacing w:after="0" w:line="226" w:lineRule="auto"/>
            </w:pPr>
            <w:r>
              <w:rPr>
                <w:rFonts w:ascii="Times New Roman" w:hAnsi="Times New Roman"/>
                <w:sz w:val="13"/>
              </w:rPr>
              <w:t>Num. 32:5</w:t>
            </w:r>
          </w:p>
        </w:tc>
        <w:tc>
          <w:tcPr>
            <w:tcW w:type="dxa" w:w="3561"/>
            <w:vAlign w:val="top"/>
          </w:tcPr>
          <w:p>
            <w:pPr>
              <w:spacing w:after="0" w:line="226" w:lineRule="auto"/>
            </w:pPr>
            <w:r>
              <w:rPr>
                <w:rFonts w:ascii="Times New Roman" w:hAnsi="Times New Roman"/>
                <w:sz w:val="13"/>
              </w:rPr>
              <w:t>bring us not over Jordan</w:t>
            </w:r>
          </w:p>
        </w:tc>
        <w:tc>
          <w:tcPr>
            <w:tcW w:type="dxa" w:w="3561"/>
            <w:vAlign w:val="top"/>
          </w:tcPr>
          <w:p>
            <w:pPr>
              <w:spacing w:after="0" w:line="226" w:lineRule="auto"/>
            </w:pPr>
            <w:r>
              <w:rPr>
                <w:rFonts w:ascii="Times New Roman" w:hAnsi="Times New Roman"/>
                <w:sz w:val="13"/>
              </w:rPr>
              <w:t>Request for east-bank inheritance; withdrawal from war not yet explicitly stated.</w:t>
            </w:r>
          </w:p>
        </w:tc>
      </w:tr>
      <w:tr>
        <w:tc>
          <w:tcPr>
            <w:tcW w:type="dxa" w:w="3561"/>
            <w:vAlign w:val="top"/>
          </w:tcPr>
          <w:p>
            <w:pPr>
              <w:spacing w:after="0" w:line="226" w:lineRule="auto"/>
            </w:pPr>
            <w:r>
              <w:rPr>
                <w:rFonts w:ascii="Times New Roman" w:hAnsi="Times New Roman"/>
                <w:sz w:val="13"/>
              </w:rPr>
              <w:t>Num. 32:6</w:t>
            </w:r>
          </w:p>
        </w:tc>
        <w:tc>
          <w:tcPr>
            <w:tcW w:type="dxa" w:w="3561"/>
            <w:vAlign w:val="top"/>
          </w:tcPr>
          <w:p>
            <w:pPr>
              <w:spacing w:after="0" w:line="226" w:lineRule="auto"/>
            </w:pPr>
            <w:r>
              <w:rPr>
                <w:rFonts w:ascii="Times New Roman" w:hAnsi="Times New Roman"/>
                <w:sz w:val="13"/>
              </w:rPr>
              <w:t>brethren war / ye sit</w:t>
            </w:r>
          </w:p>
        </w:tc>
        <w:tc>
          <w:tcPr>
            <w:tcW w:type="dxa" w:w="3561"/>
            <w:vAlign w:val="top"/>
          </w:tcPr>
          <w:p>
            <w:pPr>
              <w:spacing w:after="0" w:line="226" w:lineRule="auto"/>
            </w:pPr>
            <w:r>
              <w:rPr>
                <w:rFonts w:ascii="Times New Roman" w:hAnsi="Times New Roman"/>
                <w:sz w:val="13"/>
              </w:rPr>
              <w:t>Shared responsibility.</w:t>
            </w:r>
          </w:p>
        </w:tc>
      </w:tr>
      <w:tr>
        <w:tc>
          <w:tcPr>
            <w:tcW w:type="dxa" w:w="3561"/>
            <w:vAlign w:val="top"/>
          </w:tcPr>
          <w:p>
            <w:pPr>
              <w:spacing w:after="0" w:line="226" w:lineRule="auto"/>
            </w:pPr>
            <w:r>
              <w:rPr>
                <w:rFonts w:ascii="Times New Roman" w:hAnsi="Times New Roman"/>
                <w:sz w:val="13"/>
              </w:rPr>
              <w:t>Num. 32:7</w:t>
            </w:r>
          </w:p>
        </w:tc>
        <w:tc>
          <w:tcPr>
            <w:tcW w:type="dxa" w:w="3561"/>
            <w:vAlign w:val="top"/>
          </w:tcPr>
          <w:p>
            <w:pPr>
              <w:spacing w:after="0" w:line="226" w:lineRule="auto"/>
            </w:pPr>
            <w:r>
              <w:rPr>
                <w:rFonts w:ascii="Times New Roman" w:hAnsi="Times New Roman"/>
                <w:sz w:val="13"/>
              </w:rPr>
              <w:t>discourage/dissuade heart</w:t>
            </w:r>
          </w:p>
        </w:tc>
        <w:tc>
          <w:tcPr>
            <w:tcW w:type="dxa" w:w="3561"/>
            <w:vAlign w:val="top"/>
          </w:tcPr>
          <w:p>
            <w:pPr>
              <w:spacing w:after="0" w:line="226" w:lineRule="auto"/>
            </w:pPr>
            <w:r>
              <w:rPr>
                <w:rFonts w:ascii="Times New Roman" w:hAnsi="Times New Roman"/>
                <w:sz w:val="13"/>
              </w:rPr>
              <w:t>Moses fears Kadesh repetition.</w:t>
            </w:r>
          </w:p>
        </w:tc>
      </w:tr>
      <w:tr>
        <w:tc>
          <w:tcPr>
            <w:tcW w:type="dxa" w:w="3561"/>
            <w:vAlign w:val="top"/>
          </w:tcPr>
          <w:p>
            <w:pPr>
              <w:spacing w:after="0" w:line="226" w:lineRule="auto"/>
            </w:pPr>
            <w:r>
              <w:rPr>
                <w:rFonts w:ascii="Times New Roman" w:hAnsi="Times New Roman"/>
                <w:sz w:val="13"/>
              </w:rPr>
              <w:t>Num. 32:8–13</w:t>
            </w:r>
          </w:p>
        </w:tc>
        <w:tc>
          <w:tcPr>
            <w:tcW w:type="dxa" w:w="3561"/>
            <w:vAlign w:val="top"/>
          </w:tcPr>
          <w:p>
            <w:pPr>
              <w:spacing w:after="0" w:line="226" w:lineRule="auto"/>
            </w:pPr>
            <w:r>
              <w:rPr>
                <w:rFonts w:ascii="Times New Roman" w:hAnsi="Times New Roman"/>
                <w:sz w:val="13"/>
              </w:rPr>
              <w:t>Kadesh precedent</w:t>
            </w:r>
          </w:p>
        </w:tc>
        <w:tc>
          <w:tcPr>
            <w:tcW w:type="dxa" w:w="3561"/>
            <w:vAlign w:val="top"/>
          </w:tcPr>
          <w:p>
            <w:pPr>
              <w:spacing w:after="0" w:line="226" w:lineRule="auto"/>
            </w:pPr>
            <w:r>
              <w:rPr>
                <w:rFonts w:ascii="Times New Roman" w:hAnsi="Times New Roman"/>
                <w:sz w:val="13"/>
              </w:rPr>
              <w:t>Earlier generation lost inheritance through unbelief.</w:t>
            </w:r>
          </w:p>
        </w:tc>
      </w:tr>
      <w:tr>
        <w:tc>
          <w:tcPr>
            <w:tcW w:type="dxa" w:w="3561"/>
            <w:vAlign w:val="top"/>
          </w:tcPr>
          <w:p>
            <w:pPr>
              <w:spacing w:after="0" w:line="226" w:lineRule="auto"/>
            </w:pPr>
            <w:r>
              <w:rPr>
                <w:rFonts w:ascii="Times New Roman" w:hAnsi="Times New Roman"/>
                <w:sz w:val="13"/>
              </w:rPr>
              <w:t>Num. 32:16</w:t>
            </w:r>
          </w:p>
        </w:tc>
        <w:tc>
          <w:tcPr>
            <w:tcW w:type="dxa" w:w="3561"/>
            <w:vAlign w:val="top"/>
          </w:tcPr>
          <w:p>
            <w:pPr>
              <w:spacing w:after="0" w:line="226" w:lineRule="auto"/>
            </w:pPr>
            <w:r>
              <w:rPr>
                <w:rFonts w:ascii="Times New Roman" w:hAnsi="Times New Roman"/>
                <w:sz w:val="13"/>
              </w:rPr>
              <w:t>banah</w:t>
            </w:r>
          </w:p>
        </w:tc>
        <w:tc>
          <w:tcPr>
            <w:tcW w:type="dxa" w:w="3561"/>
            <w:vAlign w:val="top"/>
          </w:tcPr>
          <w:p>
            <w:pPr>
              <w:spacing w:after="0" w:line="226" w:lineRule="auto"/>
            </w:pPr>
            <w:r>
              <w:rPr>
                <w:rFonts w:ascii="Times New Roman" w:hAnsi="Times New Roman"/>
                <w:sz w:val="13"/>
              </w:rPr>
              <w:t>Build; rebuilding/fortifying existing towns plausible.</w:t>
            </w:r>
          </w:p>
        </w:tc>
      </w:tr>
      <w:tr>
        <w:tc>
          <w:tcPr>
            <w:tcW w:type="dxa" w:w="3561"/>
            <w:vAlign w:val="top"/>
          </w:tcPr>
          <w:p>
            <w:pPr>
              <w:spacing w:after="0" w:line="226" w:lineRule="auto"/>
            </w:pPr>
            <w:r>
              <w:rPr>
                <w:rFonts w:ascii="Times New Roman" w:hAnsi="Times New Roman"/>
                <w:sz w:val="13"/>
              </w:rPr>
              <w:t>Num. 32:17</w:t>
            </w:r>
          </w:p>
        </w:tc>
        <w:tc>
          <w:tcPr>
            <w:tcW w:type="dxa" w:w="3561"/>
            <w:vAlign w:val="top"/>
          </w:tcPr>
          <w:p>
            <w:pPr>
              <w:spacing w:after="0" w:line="226" w:lineRule="auto"/>
            </w:pPr>
            <w:r>
              <w:rPr>
                <w:rFonts w:ascii="Times New Roman" w:hAnsi="Times New Roman"/>
                <w:sz w:val="13"/>
              </w:rPr>
              <w:t>ready armed</w:t>
            </w:r>
          </w:p>
        </w:tc>
        <w:tc>
          <w:tcPr>
            <w:tcW w:type="dxa" w:w="3561"/>
            <w:vAlign w:val="top"/>
          </w:tcPr>
          <w:p>
            <w:pPr>
              <w:spacing w:after="0" w:line="226" w:lineRule="auto"/>
            </w:pPr>
            <w:r>
              <w:rPr>
                <w:rFonts w:ascii="Times New Roman" w:hAnsi="Times New Roman"/>
                <w:sz w:val="13"/>
              </w:rPr>
              <w:t>Prepared/eager armed force.</w:t>
            </w:r>
          </w:p>
        </w:tc>
      </w:tr>
      <w:tr>
        <w:tc>
          <w:tcPr>
            <w:tcW w:type="dxa" w:w="3561"/>
            <w:vAlign w:val="top"/>
          </w:tcPr>
          <w:p>
            <w:pPr>
              <w:spacing w:after="0" w:line="226" w:lineRule="auto"/>
            </w:pPr>
            <w:r>
              <w:rPr>
                <w:rFonts w:ascii="Times New Roman" w:hAnsi="Times New Roman"/>
                <w:sz w:val="13"/>
              </w:rPr>
              <w:t>Josh. 4:12–13</w:t>
            </w:r>
          </w:p>
        </w:tc>
        <w:tc>
          <w:tcPr>
            <w:tcW w:type="dxa" w:w="3561"/>
            <w:vAlign w:val="top"/>
          </w:tcPr>
          <w:p>
            <w:pPr>
              <w:spacing w:after="0" w:line="226" w:lineRule="auto"/>
            </w:pPr>
            <w:r>
              <w:rPr>
                <w:rFonts w:ascii="Times New Roman" w:hAnsi="Times New Roman"/>
                <w:sz w:val="13"/>
              </w:rPr>
              <w:t>about 40,000 cross</w:t>
            </w:r>
          </w:p>
        </w:tc>
        <w:tc>
          <w:tcPr>
            <w:tcW w:type="dxa" w:w="3561"/>
            <w:vAlign w:val="top"/>
          </w:tcPr>
          <w:p>
            <w:pPr>
              <w:spacing w:after="0" w:line="226" w:lineRule="auto"/>
            </w:pPr>
            <w:r>
              <w:rPr>
                <w:rFonts w:ascii="Times New Roman" w:hAnsi="Times New Roman"/>
                <w:sz w:val="13"/>
              </w:rPr>
              <w:t>Selected east-bank warriors go to battle.</w:t>
            </w:r>
          </w:p>
        </w:tc>
      </w:tr>
      <w:tr>
        <w:tc>
          <w:tcPr>
            <w:tcW w:type="dxa" w:w="3561"/>
            <w:vAlign w:val="top"/>
          </w:tcPr>
          <w:p>
            <w:pPr>
              <w:spacing w:after="0" w:line="226" w:lineRule="auto"/>
            </w:pPr>
            <w:r>
              <w:rPr>
                <w:rFonts w:ascii="Times New Roman" w:hAnsi="Times New Roman"/>
                <w:sz w:val="13"/>
              </w:rPr>
              <w:t>Num. 32:20–21</w:t>
            </w:r>
          </w:p>
        </w:tc>
        <w:tc>
          <w:tcPr>
            <w:tcW w:type="dxa" w:w="3561"/>
            <w:vAlign w:val="top"/>
          </w:tcPr>
          <w:p>
            <w:pPr>
              <w:spacing w:after="0" w:line="226" w:lineRule="auto"/>
            </w:pPr>
            <w:r>
              <w:rPr>
                <w:rFonts w:ascii="Times New Roman" w:hAnsi="Times New Roman"/>
                <w:sz w:val="13"/>
              </w:rPr>
              <w:t>before Yahweh</w:t>
            </w:r>
          </w:p>
        </w:tc>
        <w:tc>
          <w:tcPr>
            <w:tcW w:type="dxa" w:w="3561"/>
            <w:vAlign w:val="top"/>
          </w:tcPr>
          <w:p>
            <w:pPr>
              <w:spacing w:after="0" w:line="226" w:lineRule="auto"/>
            </w:pPr>
            <w:r>
              <w:rPr>
                <w:rFonts w:ascii="Times New Roman" w:hAnsi="Times New Roman"/>
                <w:sz w:val="13"/>
              </w:rPr>
              <w:t>Moses’ covenant framing.</w:t>
            </w:r>
          </w:p>
        </w:tc>
      </w:tr>
      <w:tr>
        <w:tc>
          <w:tcPr>
            <w:tcW w:type="dxa" w:w="3561"/>
            <w:vAlign w:val="top"/>
          </w:tcPr>
          <w:p>
            <w:pPr>
              <w:spacing w:after="0" w:line="226" w:lineRule="auto"/>
            </w:pPr>
            <w:r>
              <w:rPr>
                <w:rFonts w:ascii="Times New Roman" w:hAnsi="Times New Roman"/>
                <w:sz w:val="13"/>
              </w:rPr>
              <w:t>Num. 32:23</w:t>
            </w:r>
          </w:p>
        </w:tc>
        <w:tc>
          <w:tcPr>
            <w:tcW w:type="dxa" w:w="3561"/>
            <w:vAlign w:val="top"/>
          </w:tcPr>
          <w:p>
            <w:pPr>
              <w:spacing w:after="0" w:line="226" w:lineRule="auto"/>
            </w:pPr>
            <w:r>
              <w:rPr>
                <w:rFonts w:ascii="Times New Roman" w:hAnsi="Times New Roman"/>
                <w:sz w:val="13"/>
              </w:rPr>
              <w:t>sin will find you out</w:t>
            </w:r>
          </w:p>
        </w:tc>
        <w:tc>
          <w:tcPr>
            <w:tcW w:type="dxa" w:w="3561"/>
            <w:vAlign w:val="top"/>
          </w:tcPr>
          <w:p>
            <w:pPr>
              <w:spacing w:after="0" w:line="226" w:lineRule="auto"/>
            </w:pPr>
            <w:r>
              <w:rPr>
                <w:rFonts w:ascii="Times New Roman" w:hAnsi="Times New Roman"/>
                <w:sz w:val="13"/>
              </w:rPr>
              <w:t>Certain exposure/overtaking consequences of breach.</w:t>
            </w:r>
          </w:p>
        </w:tc>
      </w:tr>
      <w:tr>
        <w:tc>
          <w:tcPr>
            <w:tcW w:type="dxa" w:w="3561"/>
            <w:vAlign w:val="top"/>
          </w:tcPr>
          <w:p>
            <w:pPr>
              <w:spacing w:after="0" w:line="226" w:lineRule="auto"/>
            </w:pPr>
            <w:r>
              <w:rPr>
                <w:rFonts w:ascii="Times New Roman" w:hAnsi="Times New Roman"/>
                <w:sz w:val="13"/>
              </w:rPr>
              <w:t>Num. 32:28</w:t>
            </w:r>
          </w:p>
        </w:tc>
        <w:tc>
          <w:tcPr>
            <w:tcW w:type="dxa" w:w="3561"/>
            <w:vAlign w:val="top"/>
          </w:tcPr>
          <w:p>
            <w:pPr>
              <w:spacing w:after="0" w:line="226" w:lineRule="auto"/>
            </w:pPr>
            <w:r>
              <w:rPr>
                <w:rFonts w:ascii="Times New Roman" w:hAnsi="Times New Roman"/>
                <w:sz w:val="13"/>
              </w:rPr>
              <w:t>Eleazar/Joshua/heads</w:t>
            </w:r>
          </w:p>
        </w:tc>
        <w:tc>
          <w:tcPr>
            <w:tcW w:type="dxa" w:w="3561"/>
            <w:vAlign w:val="top"/>
          </w:tcPr>
          <w:p>
            <w:pPr>
              <w:spacing w:after="0" w:line="226" w:lineRule="auto"/>
            </w:pPr>
            <w:r>
              <w:rPr>
                <w:rFonts w:ascii="Times New Roman" w:hAnsi="Times New Roman"/>
                <w:sz w:val="13"/>
              </w:rPr>
              <w:t>Public succession administration.</w:t>
            </w:r>
          </w:p>
        </w:tc>
      </w:tr>
      <w:tr>
        <w:tc>
          <w:tcPr>
            <w:tcW w:type="dxa" w:w="3561"/>
            <w:vAlign w:val="top"/>
          </w:tcPr>
          <w:p>
            <w:pPr>
              <w:spacing w:after="0" w:line="226" w:lineRule="auto"/>
            </w:pPr>
            <w:r>
              <w:rPr>
                <w:rFonts w:ascii="Times New Roman" w:hAnsi="Times New Roman"/>
                <w:sz w:val="13"/>
              </w:rPr>
              <w:t>Num. 32:30</w:t>
            </w:r>
          </w:p>
        </w:tc>
        <w:tc>
          <w:tcPr>
            <w:tcW w:type="dxa" w:w="3561"/>
            <w:vAlign w:val="top"/>
          </w:tcPr>
          <w:p>
            <w:pPr>
              <w:spacing w:after="0" w:line="226" w:lineRule="auto"/>
            </w:pPr>
            <w:r>
              <w:rPr>
                <w:rFonts w:ascii="Times New Roman" w:hAnsi="Times New Roman"/>
                <w:sz w:val="13"/>
              </w:rPr>
              <w:t>if not armed</w:t>
            </w:r>
          </w:p>
        </w:tc>
        <w:tc>
          <w:tcPr>
            <w:tcW w:type="dxa" w:w="3561"/>
            <w:vAlign w:val="top"/>
          </w:tcPr>
          <w:p>
            <w:pPr>
              <w:spacing w:after="0" w:line="226" w:lineRule="auto"/>
            </w:pPr>
            <w:r>
              <w:rPr>
                <w:rFonts w:ascii="Times New Roman" w:hAnsi="Times New Roman"/>
                <w:sz w:val="13"/>
              </w:rPr>
              <w:t>They receive inheritance in Canaan; forced civil-war scenario not in MT.</w:t>
            </w:r>
          </w:p>
        </w:tc>
      </w:tr>
      <w:tr>
        <w:tc>
          <w:tcPr>
            <w:tcW w:type="dxa" w:w="3561"/>
            <w:vAlign w:val="top"/>
          </w:tcPr>
          <w:p>
            <w:pPr>
              <w:spacing w:after="0" w:line="226" w:lineRule="auto"/>
            </w:pPr>
            <w:r>
              <w:rPr>
                <w:rFonts w:ascii="Times New Roman" w:hAnsi="Times New Roman"/>
                <w:sz w:val="13"/>
              </w:rPr>
              <w:t>Num. 32:33</w:t>
            </w:r>
          </w:p>
        </w:tc>
        <w:tc>
          <w:tcPr>
            <w:tcW w:type="dxa" w:w="3561"/>
            <w:vAlign w:val="top"/>
          </w:tcPr>
          <w:p>
            <w:pPr>
              <w:spacing w:after="0" w:line="226" w:lineRule="auto"/>
            </w:pPr>
            <w:r>
              <w:rPr>
                <w:rFonts w:ascii="Times New Roman" w:hAnsi="Times New Roman"/>
                <w:sz w:val="13"/>
              </w:rPr>
              <w:t>half Manasseh added</w:t>
            </w:r>
          </w:p>
        </w:tc>
        <w:tc>
          <w:tcPr>
            <w:tcW w:type="dxa" w:w="3561"/>
            <w:vAlign w:val="top"/>
          </w:tcPr>
          <w:p>
            <w:pPr>
              <w:spacing w:after="0" w:line="226" w:lineRule="auto"/>
            </w:pPr>
            <w:r>
              <w:rPr>
                <w:rFonts w:ascii="Times New Roman" w:hAnsi="Times New Roman"/>
                <w:sz w:val="13"/>
              </w:rPr>
              <w:t>Not part of initial request.</w:t>
            </w:r>
          </w:p>
        </w:tc>
      </w:tr>
      <w:tr>
        <w:tc>
          <w:tcPr>
            <w:tcW w:type="dxa" w:w="3561"/>
            <w:vAlign w:val="top"/>
          </w:tcPr>
          <w:p>
            <w:pPr>
              <w:spacing w:after="0" w:line="226" w:lineRule="auto"/>
            </w:pPr>
            <w:r>
              <w:rPr>
                <w:rFonts w:ascii="Times New Roman" w:hAnsi="Times New Roman"/>
                <w:sz w:val="13"/>
              </w:rPr>
              <w:t>Joseph’s double portion</w:t>
            </w:r>
          </w:p>
        </w:tc>
        <w:tc>
          <w:tcPr>
            <w:tcW w:type="dxa" w:w="3561"/>
            <w:vAlign w:val="top"/>
          </w:tcPr>
          <w:p>
            <w:pPr>
              <w:spacing w:after="0" w:line="226" w:lineRule="auto"/>
            </w:pPr>
            <w:r>
              <w:rPr>
                <w:rFonts w:ascii="Times New Roman" w:hAnsi="Times New Roman"/>
                <w:sz w:val="13"/>
              </w:rPr>
              <w:t>Ephraim + Manasseh</w:t>
            </w:r>
          </w:p>
        </w:tc>
        <w:tc>
          <w:tcPr>
            <w:tcW w:type="dxa" w:w="3561"/>
            <w:vAlign w:val="top"/>
          </w:tcPr>
          <w:p>
            <w:pPr>
              <w:spacing w:after="0" w:line="226" w:lineRule="auto"/>
            </w:pPr>
            <w:r>
              <w:rPr>
                <w:rFonts w:ascii="Times New Roman" w:hAnsi="Times New Roman"/>
                <w:sz w:val="13"/>
              </w:rPr>
              <w:t>Not two independent portions owed to Manasseh alone.</w:t>
            </w:r>
          </w:p>
        </w:tc>
      </w:tr>
      <w:tr>
        <w:tc>
          <w:tcPr>
            <w:tcW w:type="dxa" w:w="3561"/>
            <w:vAlign w:val="top"/>
          </w:tcPr>
          <w:p>
            <w:pPr>
              <w:spacing w:after="0" w:line="226" w:lineRule="auto"/>
            </w:pPr>
            <w:r>
              <w:rPr>
                <w:rFonts w:ascii="Times New Roman" w:hAnsi="Times New Roman"/>
                <w:sz w:val="13"/>
              </w:rPr>
              <w:t>Num. 32:39–42</w:t>
            </w:r>
          </w:p>
        </w:tc>
        <w:tc>
          <w:tcPr>
            <w:tcW w:type="dxa" w:w="3561"/>
            <w:vAlign w:val="top"/>
          </w:tcPr>
          <w:p>
            <w:pPr>
              <w:spacing w:after="0" w:line="226" w:lineRule="auto"/>
            </w:pPr>
            <w:r>
              <w:rPr>
                <w:rFonts w:ascii="Times New Roman" w:hAnsi="Times New Roman"/>
                <w:sz w:val="13"/>
              </w:rPr>
              <w:t>Machir/Jair/Nobah conquests</w:t>
            </w:r>
          </w:p>
        </w:tc>
        <w:tc>
          <w:tcPr>
            <w:tcW w:type="dxa" w:w="3561"/>
            <w:vAlign w:val="top"/>
          </w:tcPr>
          <w:p>
            <w:pPr>
              <w:spacing w:after="0" w:line="226" w:lineRule="auto"/>
            </w:pPr>
            <w:r>
              <w:rPr>
                <w:rFonts w:ascii="Times New Roman" w:hAnsi="Times New Roman"/>
                <w:sz w:val="13"/>
              </w:rPr>
              <w:t>Immediate basis for Manassite east-bank settlement.</w:t>
            </w:r>
          </w:p>
        </w:tc>
      </w:tr>
      <w:tr>
        <w:tc>
          <w:tcPr>
            <w:tcW w:type="dxa" w:w="3561"/>
            <w:vAlign w:val="top"/>
          </w:tcPr>
          <w:p>
            <w:pPr>
              <w:spacing w:after="0" w:line="226" w:lineRule="auto"/>
            </w:pPr>
            <w:r>
              <w:rPr>
                <w:rFonts w:ascii="Times New Roman" w:hAnsi="Times New Roman"/>
                <w:sz w:val="13"/>
              </w:rPr>
              <w:t>Josh. 22:1–4</w:t>
            </w:r>
          </w:p>
        </w:tc>
        <w:tc>
          <w:tcPr>
            <w:tcW w:type="dxa" w:w="3561"/>
            <w:vAlign w:val="top"/>
          </w:tcPr>
          <w:p>
            <w:pPr>
              <w:spacing w:after="0" w:line="226" w:lineRule="auto"/>
            </w:pPr>
            <w:r>
              <w:rPr>
                <w:rFonts w:ascii="Times New Roman" w:hAnsi="Times New Roman"/>
                <w:sz w:val="13"/>
              </w:rPr>
              <w:t>obligation fulfilled</w:t>
            </w:r>
          </w:p>
        </w:tc>
        <w:tc>
          <w:tcPr>
            <w:tcW w:type="dxa" w:w="3561"/>
            <w:vAlign w:val="top"/>
          </w:tcPr>
          <w:p>
            <w:pPr>
              <w:spacing w:after="0" w:line="226" w:lineRule="auto"/>
            </w:pPr>
            <w:r>
              <w:rPr>
                <w:rFonts w:ascii="Times New Roman" w:hAnsi="Times New Roman"/>
                <w:sz w:val="13"/>
              </w:rPr>
              <w:t>Joshua commends eastern tribes and sends them home.</w:t>
            </w:r>
          </w:p>
        </w:tc>
      </w:tr>
    </w:tbl>
    <w:p>
      <w:pPr>
        <w:pStyle w:val="Heading1"/>
      </w:pPr>
      <w:r>
        <w:t>RESIDUAL UNCERTAINTIES</w:t>
      </w:r>
    </w:p>
    <w:p>
      <w:pPr/>
      <w:r>
        <w:rPr>
          <w:i w:val="0"/>
        </w:rPr>
        <w:t>The exact identification of several east-Jordan cities and the mechanics by which half-Manasseh joined the agreement are not narrated in detail. The longer Septuagint wording at verse 30 and Mansfield’s proposed civil-war consequence are not treated as certain. The spiritual danger of materialism is a valid exhortational theme, but the eastern inheritance itself is ultimately accepted within Yahweh’s arrangement.</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32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9"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6" w:after="12"/>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30" w:after="12"/>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