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33</w:t>
      </w:r>
    </w:p>
    <w:p>
      <w:pPr>
        <w:pStyle w:val="Subtitle"/>
      </w:pPr>
      <w:r>
        <w:t>THE JOURNEYS REMEMBERED • FROM RAMESES TO MOAB • THE WILDERNESS GENERATION • AARON’S DEATH DATED • FINAL CAMP BY JORDAN • REMOVE CANAANITE IDOLATRY OR SUFFER ITS JUDGMENT</w:t>
      </w:r>
    </w:p>
    <w:p>
      <w:pPr/>
      <w:r>
        <w:rPr>
          <w:i/>
        </w:rPr>
        <w:t>H. P. Mansfield Bible notes — checked and arranged in verse-by-verse Expositor style</w:t>
      </w:r>
    </w:p>
    <w:p>
      <w:pPr/>
      <w:r>
        <w:rPr>
          <w:i w:val="0"/>
        </w:rPr>
        <w:t>Source: HPB 03-Lev12-Num36.PDF, mainly pp. 91–92; cross-checked with Mansfield’s Numbers Expositor Chapter 33 and the earlier Exodus/Numbers itinerary passages.</w:t>
      </w:r>
    </w:p>
    <w:p>
      <w:pPr>
        <w:pStyle w:val="Heading1"/>
      </w:pPr>
      <w:r>
        <w:t>CHAPTER OVERVIEW</w:t>
      </w:r>
    </w:p>
    <w:p>
      <w:pPr/>
      <w:r>
        <w:rPr>
          <w:i w:val="0"/>
        </w:rPr>
        <w:t>Numbers 33 gathers Israel’s wilderness stages into a formal itinerary written by Moses. The list looks backward over redemption, testing, judgment and preservation while Israel stands on the plains of Moab ready to enter the land.</w:t>
      </w:r>
    </w:p>
    <w:p>
      <w:pPr/>
      <w:r>
        <w:rPr>
          <w:i w:val="0"/>
        </w:rPr>
        <w:t>The itinerary is historically valuable but does not make every modern site identification certain. Mansfield’s route maps and name-etymology constructions are therefore preserved only where they are securely supported.</w:t>
      </w:r>
    </w:p>
    <w:p>
      <w:pPr>
        <w:pStyle w:val="Heading1"/>
      </w:pPr>
      <w:r>
        <w:t>THE ITINERARY WRITTEN — NUMBERS 33:1–2</w:t>
      </w:r>
    </w:p>
    <w:p>
      <w:pPr>
        <w:pStyle w:val="Heading2"/>
      </w:pPr>
      <w:r>
        <w:t>Numbers 33:1 — journeys under Moses and Aaron</w:t>
      </w:r>
    </w:p>
    <w:p>
      <w:pPr/>
      <w:r>
        <w:rPr>
          <w:i w:val="0"/>
        </w:rPr>
        <w:t>The chapter records the journeys of Israel after going out of Egypt “with their armies under the hand of Moses and Aaron.” The people who left as slaves are remembered as an ordered host.</w:t>
      </w:r>
    </w:p>
    <w:p>
      <w:pPr>
        <w:pStyle w:val="Heading2"/>
      </w:pPr>
      <w:r>
        <w:t>Numbers 33:2 — Moses wrote the stages</w:t>
      </w:r>
    </w:p>
    <w:p>
      <w:pPr/>
      <w:r>
        <w:rPr>
          <w:i w:val="0"/>
        </w:rPr>
        <w:t>Moses writes their goings-out/stages according to their journeys “by the commandment/mouth of Yahweh.” Numbers 9–10 independently shows that the cloud governed movement and rest.</w:t>
      </w:r>
    </w:p>
    <w:p>
      <w:pPr/>
      <w:r>
        <w:rPr>
          <w:i w:val="0"/>
        </w:rPr>
        <w:t>The verse expressly attributes the written itinerary to Moses. It should not be expanded into certainty about every later geographical identification.</w:t>
      </w:r>
    </w:p>
    <w:p>
      <w:pPr>
        <w:pStyle w:val="Heading1"/>
      </w:pPr>
      <w:r>
        <w:t>FROM EGYPT TO SINAI — NUMBERS 33:3–15</w:t>
      </w:r>
    </w:p>
    <w:p>
      <w:pPr>
        <w:pStyle w:val="Heading2"/>
      </w:pPr>
      <w:r>
        <w:t>Numbers 33:3–4 — Rameses on the fifteenth</w:t>
      </w:r>
    </w:p>
    <w:p>
      <w:pPr/>
      <w:r>
        <w:rPr>
          <w:i w:val="0"/>
        </w:rPr>
        <w:t>Israel leaves Rameses on the fifteenth day of the first month, the day after the Passover sacrifice, “with an high hand” while Egyptians are burying their firstborn.</w:t>
      </w:r>
    </w:p>
    <w:p>
      <w:pPr/>
      <w:r>
        <w:rPr>
          <w:i w:val="0"/>
        </w:rPr>
        <w:t>Verse 4 adds that Yahweh had executed judgments upon Egypt’s gods.</w:t>
      </w:r>
    </w:p>
    <w:p>
      <w:pPr>
        <w:pStyle w:val="Heading2"/>
      </w:pPr>
      <w:r>
        <w:t>Numbers 33:5–15 — Succoth to Sinai</w:t>
      </w:r>
    </w:p>
    <w:p>
      <w:pPr/>
      <w:r>
        <w:rPr>
          <w:i w:val="0"/>
        </w:rPr>
        <w:t>The itinerary names Succoth, Etham, Pi-hahiroth, Marah, Elim, a Red Sea station, the wilderness of Sin, Dophkah, Alush, Rephidim and Sinai.</w:t>
      </w:r>
    </w:p>
    <w:p>
      <w:pPr/>
      <w:r>
        <w:rPr>
          <w:i w:val="0"/>
        </w:rPr>
        <w:t>These names connect with the earlier Exodus narrative, but the exact route of the sea crossing, the precise location of Sinai and many station identifications remain debated. Mansfield’s Ras Attakah/Jebel Musa route is one reconstruction, not established biblical fact.</w:t>
      </w:r>
    </w:p>
    <w:p>
      <w:pPr>
        <w:pStyle w:val="Heading1"/>
      </w:pPr>
      <w:r>
        <w:t>THE LONG WILDERNESS PERIOD — NUMBERS 33:16–36</w:t>
      </w:r>
    </w:p>
    <w:p>
      <w:pPr>
        <w:pStyle w:val="Heading2"/>
      </w:pPr>
      <w:r>
        <w:t>Numbers 33:16–17 — Kibroth-hattaavah and Hazeroth</w:t>
      </w:r>
    </w:p>
    <w:p>
      <w:pPr/>
      <w:r>
        <w:rPr>
          <w:i w:val="0"/>
        </w:rPr>
        <w:t>From Sinai Israel camps at Kibroth-hattaavah and Hazeroth, recalling the craving judgment and the period of Miriam’s exclusion.</w:t>
      </w:r>
    </w:p>
    <w:p>
      <w:pPr/>
      <w:r>
        <w:rPr>
          <w:i w:val="0"/>
        </w:rPr>
        <w:t>Hazeroth means enclosures/settlements or courts; Mansfield’s claim that the name itself means “the place where she was separated” is not linguistically secure.</w:t>
      </w:r>
    </w:p>
    <w:p>
      <w:pPr>
        <w:pStyle w:val="Heading2"/>
      </w:pPr>
      <w:r>
        <w:t>Numbers 33:18–35 — many otherwise obscure stations</w:t>
      </w:r>
    </w:p>
    <w:p>
      <w:pPr/>
      <w:r>
        <w:rPr>
          <w:i w:val="0"/>
        </w:rPr>
        <w:t>Rithmah, Rimmon-parez, Libnah, Rissah, Kehelathah, Mount Shapher, Haradah, Makheloth, Tahath, Tarah, Mithcah, Hashmonah, Moseroth, Bene-jaakan, Hor-hagidgad, Jotbathah, Ebronah and Ezion-geber are listed.</w:t>
      </w:r>
    </w:p>
    <w:p>
      <w:pPr/>
      <w:r>
        <w:rPr>
          <w:i w:val="0"/>
        </w:rPr>
        <w:t>Many appear nowhere else or cannot be located securely. Proposed spiritual meanings built from uncertain name etymologies should not be treated as hidden inspired commentary.</w:t>
      </w:r>
    </w:p>
    <w:p>
      <w:pPr>
        <w:pStyle w:val="Heading2"/>
      </w:pPr>
      <w:r>
        <w:t>Rithmah and Kadesh — an important caution</w:t>
      </w:r>
    </w:p>
    <w:p>
      <w:pPr/>
      <w:r>
        <w:rPr>
          <w:i w:val="0"/>
        </w:rPr>
        <w:t>Mansfield identifies Rithmah with Kadesh-barnea so that the intervening stations form a thirty-eight-year circular wandering back to Kadesh in verse 36. This is possible but not proved.</w:t>
      </w:r>
    </w:p>
    <w:p>
      <w:pPr/>
      <w:r>
        <w:rPr>
          <w:i w:val="0"/>
        </w:rPr>
        <w:t>Deuteronomy 2:14 explicitly states thirty-eight years from Kadesh-barnea until crossing Zered, but Numbers 33 itself does not say Rithmah is Kadesh. The exact wilderness route remains unresolved.</w:t>
      </w:r>
    </w:p>
    <w:p>
      <w:pPr>
        <w:pStyle w:val="Heading2"/>
      </w:pPr>
      <w:r>
        <w:t>Numbers 33:36 — Kadesh explicitly named</w:t>
      </w:r>
    </w:p>
    <w:p>
      <w:pPr/>
      <w:r>
        <w:rPr>
          <w:i w:val="0"/>
        </w:rPr>
        <w:t>From Ezion-geber Israel camps in the wilderness of Zin, “which is Kadesh.” This is the first explicit Kadesh identification in the itinerary.</w:t>
      </w:r>
    </w:p>
    <w:p>
      <w:pPr>
        <w:pStyle w:val="Heading1"/>
      </w:pPr>
      <w:r>
        <w:t>AARON’S DEATH — NUMBERS 33:37–40</w:t>
      </w:r>
    </w:p>
    <w:p>
      <w:pPr>
        <w:pStyle w:val="Heading2"/>
      </w:pPr>
      <w:r>
        <w:t>Numbers 33:37–39 — date and age fixed precisely</w:t>
      </w:r>
    </w:p>
    <w:p>
      <w:pPr/>
      <w:r>
        <w:rPr>
          <w:i w:val="0"/>
        </w:rPr>
        <w:t>Israel moves from Kadesh to Mount Hor. Aaron goes up by Yahweh’s command and dies there on the first day of the fifth month in the fortieth year after the Exodus, aged 123.</w:t>
      </w:r>
    </w:p>
    <w:p>
      <w:pPr/>
      <w:r>
        <w:rPr>
          <w:i w:val="0"/>
        </w:rPr>
        <w:t>These verses provide the precise chronology only inferred when reading Numbers 20 by itself.</w:t>
      </w:r>
    </w:p>
    <w:p>
      <w:pPr>
        <w:pStyle w:val="Heading2"/>
      </w:pPr>
      <w:r>
        <w:t>Numbers 33:40 — Arad hears</w:t>
      </w:r>
    </w:p>
    <w:p>
      <w:pPr/>
      <w:r>
        <w:rPr>
          <w:i w:val="0"/>
        </w:rPr>
        <w:t>The Canaanite king of Arad hears of Israel’s approach, connecting the itinerary with the conflict recorded in Numbers 21.</w:t>
      </w:r>
    </w:p>
    <w:p>
      <w:pPr>
        <w:pStyle w:val="Heading1"/>
      </w:pPr>
      <w:r>
        <w:t>FINAL STAGES TO THE PLAINS OF MOAB — NUMBERS 33:41–49</w:t>
      </w:r>
    </w:p>
    <w:p>
      <w:pPr>
        <w:pStyle w:val="Heading2"/>
      </w:pPr>
      <w:r>
        <w:t>Numbers 33:41–47 — Mount Hor to Abarim</w:t>
      </w:r>
    </w:p>
    <w:p>
      <w:pPr/>
      <w:r>
        <w:rPr>
          <w:i w:val="0"/>
        </w:rPr>
        <w:t>The stages include Zalmonah, Punon, Oboth, Ije-abarim, Dibon-gad, Almon-diblathaim and the mountains of Abarim before Nebo.</w:t>
      </w:r>
    </w:p>
    <w:p>
      <w:pPr/>
      <w:r>
        <w:rPr>
          <w:i w:val="0"/>
        </w:rPr>
        <w:t>Several identifications are plausible, but precise modern mapping remains uncertain.</w:t>
      </w:r>
    </w:p>
    <w:p>
      <w:pPr>
        <w:pStyle w:val="Heading2"/>
      </w:pPr>
      <w:r>
        <w:t>Numbers 33:48–49 — plains of Moab</w:t>
      </w:r>
    </w:p>
    <w:p>
      <w:pPr/>
      <w:r>
        <w:rPr>
          <w:i w:val="0"/>
        </w:rPr>
        <w:t>Israel finally camps by Jordan from Beth-jesimoth to Abel-shittim in the plains of Moab opposite Jericho.</w:t>
      </w:r>
    </w:p>
    <w:p>
      <w:pPr/>
      <w:r>
        <w:rPr>
          <w:i w:val="0"/>
        </w:rPr>
        <w:t>The wilderness itinerary has reached the border of inheritance, but entry still requires obedience.</w:t>
      </w:r>
    </w:p>
    <w:p>
      <w:pPr>
        <w:pStyle w:val="Heading1"/>
      </w:pPr>
      <w:r>
        <w:t>INSTRUCTIONS FOR CANAAN — NUMBERS 33:50–56</w:t>
      </w:r>
    </w:p>
    <w:p>
      <w:pPr>
        <w:pStyle w:val="Heading2"/>
      </w:pPr>
      <w:r>
        <w:t>Numbers 33:50–53 — remove idolatrous structures and possess the land</w:t>
      </w:r>
    </w:p>
    <w:p>
      <w:pPr/>
      <w:r>
        <w:rPr>
          <w:i w:val="0"/>
        </w:rPr>
        <w:t>Yahweh commands Israel to dispossess the inhabitants of Canaan and destroy their maskiyyot, figured/carved objects or images, molten images and bamoth, high places, then possess the land Yahweh has given.</w:t>
      </w:r>
    </w:p>
    <w:p>
      <w:pPr/>
      <w:r>
        <w:rPr>
          <w:i w:val="0"/>
        </w:rPr>
        <w:t>The command belongs to Israel’s specific theocratic conquest of Canaan and should not be universalised into authority for believers to destroy other people’s religious property.</w:t>
      </w:r>
    </w:p>
    <w:p>
      <w:pPr>
        <w:pStyle w:val="Heading2"/>
      </w:pPr>
      <w:r>
        <w:t>Numbers 33:54 — land divided by lot and family size</w:t>
      </w:r>
    </w:p>
    <w:p>
      <w:pPr/>
      <w:r>
        <w:rPr>
          <w:i w:val="0"/>
        </w:rPr>
        <w:t>The land is divided by lot among families, with larger groups receiving larger inheritances and smaller groups smaller inheritances, as already ordered in Numbers 26.</w:t>
      </w:r>
    </w:p>
    <w:p>
      <w:pPr>
        <w:pStyle w:val="Heading2"/>
      </w:pPr>
      <w:r>
        <w:t>Numbers 33:55 — pricks in eyes and thorns in sides</w:t>
      </w:r>
    </w:p>
    <w:p>
      <w:pPr/>
      <w:r>
        <w:rPr>
          <w:i w:val="0"/>
        </w:rPr>
        <w:t>If Canaanite populations remain as centres of hostile/idolatrous influence, they will become barbs/pricks in Israel’s eyes and thorns in their sides and will harass them in the land.</w:t>
      </w:r>
    </w:p>
    <w:p>
      <w:pPr/>
      <w:r>
        <w:rPr>
          <w:i w:val="0"/>
        </w:rPr>
        <w:t>Joshua 23:13 and Judges 2:3 later echo the warning.</w:t>
      </w:r>
    </w:p>
    <w:p>
      <w:pPr>
        <w:pStyle w:val="Heading2"/>
      </w:pPr>
      <w:r>
        <w:t>Numbers 33:56 — Israel can receive Canaan’s judgment</w:t>
      </w:r>
    </w:p>
    <w:p>
      <w:pPr/>
      <w:r>
        <w:rPr>
          <w:i w:val="0"/>
        </w:rPr>
        <w:t>If Israel embraces the practices it was commanded to remove, Yahweh warns: “I shall do unto you, as I thought to do unto them.”</w:t>
      </w:r>
    </w:p>
    <w:p>
      <w:pPr/>
      <w:r>
        <w:rPr>
          <w:i w:val="0"/>
        </w:rPr>
        <w:t>Possession is therefore covenant responsibility, not immunity from judgment.</w:t>
      </w:r>
    </w:p>
    <w:p>
      <w:pPr>
        <w:pStyle w:val="Heading1"/>
      </w:pPr>
      <w:r>
        <w:t>PRINCIPAL THEMES</w:t>
      </w:r>
    </w:p>
    <w:p>
      <w:pPr>
        <w:ind w:left="259" w:hanging="202"/>
      </w:pPr>
      <w:r>
        <w:rPr>
          <w:b/>
        </w:rPr>
        <w:t xml:space="preserve">• </w:t>
      </w:r>
      <w:r>
        <w:t>The itinerary is explicitly written by Moses.</w:t>
      </w:r>
    </w:p>
    <w:p>
      <w:pPr>
        <w:ind w:left="259" w:hanging="202"/>
      </w:pPr>
      <w:r>
        <w:rPr>
          <w:b/>
        </w:rPr>
        <w:t xml:space="preserve">• </w:t>
      </w:r>
      <w:r>
        <w:t>Redemption from Egypt and the wilderness journey are recalled as one continuous history.</w:t>
      </w:r>
    </w:p>
    <w:p>
      <w:pPr>
        <w:ind w:left="259" w:hanging="202"/>
      </w:pPr>
      <w:r>
        <w:rPr>
          <w:b/>
        </w:rPr>
        <w:t xml:space="preserve">• </w:t>
      </w:r>
      <w:r>
        <w:t>Exact modern identification of the Exodus route, Sinai and many wilderness stations remains uncertain.</w:t>
      </w:r>
    </w:p>
    <w:p>
      <w:pPr>
        <w:ind w:left="259" w:hanging="202"/>
      </w:pPr>
      <w:r>
        <w:rPr>
          <w:b/>
        </w:rPr>
        <w:t xml:space="preserve">• </w:t>
      </w:r>
      <w:r>
        <w:t>Hazeroth does not linguistically mean “where Miriam was separated.”</w:t>
      </w:r>
    </w:p>
    <w:p>
      <w:pPr>
        <w:ind w:left="259" w:hanging="202"/>
      </w:pPr>
      <w:r>
        <w:rPr>
          <w:b/>
        </w:rPr>
        <w:t xml:space="preserve">• </w:t>
      </w:r>
      <w:r>
        <w:t>Rithmah may be associated with Kadesh-barnea, but the identification is not proved.</w:t>
      </w:r>
    </w:p>
    <w:p>
      <w:pPr>
        <w:ind w:left="259" w:hanging="202"/>
      </w:pPr>
      <w:r>
        <w:rPr>
          <w:b/>
        </w:rPr>
        <w:t xml:space="preserve">• </w:t>
      </w:r>
      <w:r>
        <w:t>Deuteronomy 2:14—not Numbers 33—explicitly gives the thirty-eight-year Kadesh-to-Zered interval.</w:t>
      </w:r>
    </w:p>
    <w:p>
      <w:pPr>
        <w:ind w:left="259" w:hanging="202"/>
      </w:pPr>
      <w:r>
        <w:rPr>
          <w:b/>
        </w:rPr>
        <w:t xml:space="preserve">• </w:t>
      </w:r>
      <w:r>
        <w:t>Aaron’s death is dated exactly: year 40, month 5, day 1, age 123.</w:t>
      </w:r>
    </w:p>
    <w:p>
      <w:pPr>
        <w:ind w:left="259" w:hanging="202"/>
      </w:pPr>
      <w:r>
        <w:rPr>
          <w:b/>
        </w:rPr>
        <w:t xml:space="preserve">• </w:t>
      </w:r>
      <w:r>
        <w:t>The final Canaan command includes destruction of idolatrous installations within Israel’s specific conquest mandate.</w:t>
      </w:r>
    </w:p>
    <w:p>
      <w:pPr>
        <w:ind w:left="259" w:hanging="202"/>
      </w:pPr>
      <w:r>
        <w:rPr>
          <w:b/>
        </w:rPr>
        <w:t xml:space="preserve">• </w:t>
      </w:r>
      <w:r>
        <w:t>Failure to remove corrupting influences will turn them into continuing affliction.</w:t>
      </w:r>
    </w:p>
    <w:p>
      <w:pPr>
        <w:ind w:left="259" w:hanging="202"/>
      </w:pPr>
      <w:r>
        <w:rPr>
          <w:b/>
        </w:rPr>
        <w:t xml:space="preserve">• </w:t>
      </w:r>
      <w:r>
        <w:t>Israel itself can receive the same judgment if it adopts Canaanite ways.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Num. 33:2</w:t>
            </w:r>
          </w:p>
        </w:tc>
        <w:tc>
          <w:tcPr>
            <w:tcW w:type="dxa" w:w="3561"/>
            <w:vAlign w:val="top"/>
          </w:tcPr>
          <w:p>
            <w:pPr>
              <w:spacing w:after="0" w:line="223" w:lineRule="auto"/>
            </w:pPr>
            <w:r>
              <w:rPr>
                <w:rFonts w:ascii="Times New Roman" w:hAnsi="Times New Roman"/>
                <w:sz w:val="13"/>
              </w:rPr>
              <w:t>Moses wrote itinerary</w:t>
            </w:r>
          </w:p>
        </w:tc>
        <w:tc>
          <w:tcPr>
            <w:tcW w:type="dxa" w:w="3561"/>
            <w:vAlign w:val="top"/>
          </w:tcPr>
          <w:p>
            <w:pPr>
              <w:spacing w:after="0" w:line="223" w:lineRule="auto"/>
            </w:pPr>
            <w:r>
              <w:rPr>
                <w:rFonts w:ascii="Times New Roman" w:hAnsi="Times New Roman"/>
                <w:sz w:val="13"/>
              </w:rPr>
              <w:t>Explicit authorship statement.</w:t>
            </w:r>
          </w:p>
        </w:tc>
      </w:tr>
      <w:tr>
        <w:tc>
          <w:tcPr>
            <w:tcW w:type="dxa" w:w="3561"/>
            <w:vAlign w:val="top"/>
          </w:tcPr>
          <w:p>
            <w:pPr>
              <w:spacing w:after="0" w:line="223" w:lineRule="auto"/>
            </w:pPr>
            <w:r>
              <w:rPr>
                <w:rFonts w:ascii="Times New Roman" w:hAnsi="Times New Roman"/>
                <w:sz w:val="13"/>
              </w:rPr>
              <w:t>Num. 33:3</w:t>
            </w:r>
          </w:p>
        </w:tc>
        <w:tc>
          <w:tcPr>
            <w:tcW w:type="dxa" w:w="3561"/>
            <w:vAlign w:val="top"/>
          </w:tcPr>
          <w:p>
            <w:pPr>
              <w:spacing w:after="0" w:line="223" w:lineRule="auto"/>
            </w:pPr>
            <w:r>
              <w:rPr>
                <w:rFonts w:ascii="Times New Roman" w:hAnsi="Times New Roman"/>
                <w:sz w:val="13"/>
              </w:rPr>
              <w:t>15th day, first month</w:t>
            </w:r>
          </w:p>
        </w:tc>
        <w:tc>
          <w:tcPr>
            <w:tcW w:type="dxa" w:w="3561"/>
            <w:vAlign w:val="top"/>
          </w:tcPr>
          <w:p>
            <w:pPr>
              <w:spacing w:after="0" w:line="223" w:lineRule="auto"/>
            </w:pPr>
            <w:r>
              <w:rPr>
                <w:rFonts w:ascii="Times New Roman" w:hAnsi="Times New Roman"/>
                <w:sz w:val="13"/>
              </w:rPr>
              <w:t>Departure from Rameses day after Passover sacrifice.</w:t>
            </w:r>
          </w:p>
        </w:tc>
      </w:tr>
      <w:tr>
        <w:tc>
          <w:tcPr>
            <w:tcW w:type="dxa" w:w="3561"/>
            <w:vAlign w:val="top"/>
          </w:tcPr>
          <w:p>
            <w:pPr>
              <w:spacing w:after="0" w:line="223" w:lineRule="auto"/>
            </w:pPr>
            <w:r>
              <w:rPr>
                <w:rFonts w:ascii="Times New Roman" w:hAnsi="Times New Roman"/>
                <w:sz w:val="13"/>
              </w:rPr>
              <w:t>Num. 33:4</w:t>
            </w:r>
          </w:p>
        </w:tc>
        <w:tc>
          <w:tcPr>
            <w:tcW w:type="dxa" w:w="3561"/>
            <w:vAlign w:val="top"/>
          </w:tcPr>
          <w:p>
            <w:pPr>
              <w:spacing w:after="0" w:line="223" w:lineRule="auto"/>
            </w:pPr>
            <w:r>
              <w:rPr>
                <w:rFonts w:ascii="Times New Roman" w:hAnsi="Times New Roman"/>
                <w:sz w:val="13"/>
              </w:rPr>
              <w:t>judgments on Egypt’s gods</w:t>
            </w:r>
          </w:p>
        </w:tc>
        <w:tc>
          <w:tcPr>
            <w:tcW w:type="dxa" w:w="3561"/>
            <w:vAlign w:val="top"/>
          </w:tcPr>
          <w:p>
            <w:pPr>
              <w:spacing w:after="0" w:line="223" w:lineRule="auto"/>
            </w:pPr>
            <w:r>
              <w:rPr>
                <w:rFonts w:ascii="Times New Roman" w:hAnsi="Times New Roman"/>
                <w:sz w:val="13"/>
              </w:rPr>
              <w:t>Explicit theological addition.</w:t>
            </w:r>
          </w:p>
        </w:tc>
      </w:tr>
      <w:tr>
        <w:tc>
          <w:tcPr>
            <w:tcW w:type="dxa" w:w="3561"/>
            <w:vAlign w:val="top"/>
          </w:tcPr>
          <w:p>
            <w:pPr>
              <w:spacing w:after="0" w:line="223" w:lineRule="auto"/>
            </w:pPr>
            <w:r>
              <w:rPr>
                <w:rFonts w:ascii="Times New Roman" w:hAnsi="Times New Roman"/>
                <w:sz w:val="13"/>
              </w:rPr>
              <w:t>Exodus-route mapping</w:t>
            </w:r>
          </w:p>
        </w:tc>
        <w:tc>
          <w:tcPr>
            <w:tcW w:type="dxa" w:w="3561"/>
            <w:vAlign w:val="top"/>
          </w:tcPr>
          <w:p>
            <w:pPr>
              <w:spacing w:after="0" w:line="223" w:lineRule="auto"/>
            </w:pPr>
            <w:r>
              <w:rPr>
                <w:rFonts w:ascii="Times New Roman" w:hAnsi="Times New Roman"/>
                <w:sz w:val="13"/>
              </w:rPr>
              <w:t>uncertain</w:t>
            </w:r>
          </w:p>
        </w:tc>
        <w:tc>
          <w:tcPr>
            <w:tcW w:type="dxa" w:w="3561"/>
            <w:vAlign w:val="top"/>
          </w:tcPr>
          <w:p>
            <w:pPr>
              <w:spacing w:after="0" w:line="223" w:lineRule="auto"/>
            </w:pPr>
            <w:r>
              <w:rPr>
                <w:rFonts w:ascii="Times New Roman" w:hAnsi="Times New Roman"/>
                <w:sz w:val="13"/>
              </w:rPr>
              <w:t>Ras Attakah/Jebel Musa is Mansfield reconstruction, not certain.</w:t>
            </w:r>
          </w:p>
        </w:tc>
      </w:tr>
      <w:tr>
        <w:tc>
          <w:tcPr>
            <w:tcW w:type="dxa" w:w="3561"/>
            <w:vAlign w:val="top"/>
          </w:tcPr>
          <w:p>
            <w:pPr>
              <w:spacing w:after="0" w:line="223" w:lineRule="auto"/>
            </w:pPr>
            <w:r>
              <w:rPr>
                <w:rFonts w:ascii="Times New Roman" w:hAnsi="Times New Roman"/>
                <w:sz w:val="13"/>
              </w:rPr>
              <w:t>Num. 33:17</w:t>
            </w:r>
          </w:p>
        </w:tc>
        <w:tc>
          <w:tcPr>
            <w:tcW w:type="dxa" w:w="3561"/>
            <w:vAlign w:val="top"/>
          </w:tcPr>
          <w:p>
            <w:pPr>
              <w:spacing w:after="0" w:line="223" w:lineRule="auto"/>
            </w:pPr>
            <w:r>
              <w:rPr>
                <w:rFonts w:ascii="Times New Roman" w:hAnsi="Times New Roman"/>
                <w:sz w:val="13"/>
              </w:rPr>
              <w:t>Hazeroth</w:t>
            </w:r>
          </w:p>
        </w:tc>
        <w:tc>
          <w:tcPr>
            <w:tcW w:type="dxa" w:w="3561"/>
            <w:vAlign w:val="top"/>
          </w:tcPr>
          <w:p>
            <w:pPr>
              <w:spacing w:after="0" w:line="223" w:lineRule="auto"/>
            </w:pPr>
            <w:r>
              <w:rPr>
                <w:rFonts w:ascii="Times New Roman" w:hAnsi="Times New Roman"/>
                <w:sz w:val="13"/>
              </w:rPr>
              <w:t>Enclosures/settlements; not “where she was separated.”</w:t>
            </w:r>
          </w:p>
        </w:tc>
      </w:tr>
      <w:tr>
        <w:tc>
          <w:tcPr>
            <w:tcW w:type="dxa" w:w="3561"/>
            <w:vAlign w:val="top"/>
          </w:tcPr>
          <w:p>
            <w:pPr>
              <w:spacing w:after="0" w:line="223" w:lineRule="auto"/>
            </w:pPr>
            <w:r>
              <w:rPr>
                <w:rFonts w:ascii="Times New Roman" w:hAnsi="Times New Roman"/>
                <w:sz w:val="13"/>
              </w:rPr>
              <w:t>Num. 33:18</w:t>
            </w:r>
          </w:p>
        </w:tc>
        <w:tc>
          <w:tcPr>
            <w:tcW w:type="dxa" w:w="3561"/>
            <w:vAlign w:val="top"/>
          </w:tcPr>
          <w:p>
            <w:pPr>
              <w:spacing w:after="0" w:line="223" w:lineRule="auto"/>
            </w:pPr>
            <w:r>
              <w:rPr>
                <w:rFonts w:ascii="Times New Roman" w:hAnsi="Times New Roman"/>
                <w:sz w:val="13"/>
              </w:rPr>
              <w:t>Rithmah</w:t>
            </w:r>
          </w:p>
        </w:tc>
        <w:tc>
          <w:tcPr>
            <w:tcW w:type="dxa" w:w="3561"/>
            <w:vAlign w:val="top"/>
          </w:tcPr>
          <w:p>
            <w:pPr>
              <w:spacing w:after="0" w:line="223" w:lineRule="auto"/>
            </w:pPr>
            <w:r>
              <w:rPr>
                <w:rFonts w:ascii="Times New Roman" w:hAnsi="Times New Roman"/>
                <w:sz w:val="13"/>
              </w:rPr>
              <w:t>Identification with Kadesh-barnea possible, unproved.</w:t>
            </w:r>
          </w:p>
        </w:tc>
      </w:tr>
      <w:tr>
        <w:tc>
          <w:tcPr>
            <w:tcW w:type="dxa" w:w="3561"/>
            <w:vAlign w:val="top"/>
          </w:tcPr>
          <w:p>
            <w:pPr>
              <w:spacing w:after="0" w:line="223" w:lineRule="auto"/>
            </w:pPr>
            <w:r>
              <w:rPr>
                <w:rFonts w:ascii="Times New Roman" w:hAnsi="Times New Roman"/>
                <w:sz w:val="13"/>
              </w:rPr>
              <w:t>Deut. 2:14</w:t>
            </w:r>
          </w:p>
        </w:tc>
        <w:tc>
          <w:tcPr>
            <w:tcW w:type="dxa" w:w="3561"/>
            <w:vAlign w:val="top"/>
          </w:tcPr>
          <w:p>
            <w:pPr>
              <w:spacing w:after="0" w:line="223" w:lineRule="auto"/>
            </w:pPr>
            <w:r>
              <w:rPr>
                <w:rFonts w:ascii="Times New Roman" w:hAnsi="Times New Roman"/>
                <w:sz w:val="13"/>
              </w:rPr>
              <w:t>38 years</w:t>
            </w:r>
          </w:p>
        </w:tc>
        <w:tc>
          <w:tcPr>
            <w:tcW w:type="dxa" w:w="3561"/>
            <w:vAlign w:val="top"/>
          </w:tcPr>
          <w:p>
            <w:pPr>
              <w:spacing w:after="0" w:line="223" w:lineRule="auto"/>
            </w:pPr>
            <w:r>
              <w:rPr>
                <w:rFonts w:ascii="Times New Roman" w:hAnsi="Times New Roman"/>
                <w:sz w:val="13"/>
              </w:rPr>
              <w:t>Kadesh-barnea to Zered interval explicit there.</w:t>
            </w:r>
          </w:p>
        </w:tc>
      </w:tr>
      <w:tr>
        <w:tc>
          <w:tcPr>
            <w:tcW w:type="dxa" w:w="3561"/>
            <w:vAlign w:val="top"/>
          </w:tcPr>
          <w:p>
            <w:pPr>
              <w:spacing w:after="0" w:line="223" w:lineRule="auto"/>
            </w:pPr>
            <w:r>
              <w:rPr>
                <w:rFonts w:ascii="Times New Roman" w:hAnsi="Times New Roman"/>
                <w:sz w:val="13"/>
              </w:rPr>
              <w:t>Num. 33:36</w:t>
            </w:r>
          </w:p>
        </w:tc>
        <w:tc>
          <w:tcPr>
            <w:tcW w:type="dxa" w:w="3561"/>
            <w:vAlign w:val="top"/>
          </w:tcPr>
          <w:p>
            <w:pPr>
              <w:spacing w:after="0" w:line="223" w:lineRule="auto"/>
            </w:pPr>
            <w:r>
              <w:rPr>
                <w:rFonts w:ascii="Times New Roman" w:hAnsi="Times New Roman"/>
                <w:sz w:val="13"/>
              </w:rPr>
              <w:t>Kadesh</w:t>
            </w:r>
          </w:p>
        </w:tc>
        <w:tc>
          <w:tcPr>
            <w:tcW w:type="dxa" w:w="3561"/>
            <w:vAlign w:val="top"/>
          </w:tcPr>
          <w:p>
            <w:pPr>
              <w:spacing w:after="0" w:line="223" w:lineRule="auto"/>
            </w:pPr>
            <w:r>
              <w:rPr>
                <w:rFonts w:ascii="Times New Roman" w:hAnsi="Times New Roman"/>
                <w:sz w:val="13"/>
              </w:rPr>
              <w:t>Explicitly wilderness of Zin = Kadesh.</w:t>
            </w:r>
          </w:p>
        </w:tc>
      </w:tr>
      <w:tr>
        <w:tc>
          <w:tcPr>
            <w:tcW w:type="dxa" w:w="3561"/>
            <w:vAlign w:val="top"/>
          </w:tcPr>
          <w:p>
            <w:pPr>
              <w:spacing w:after="0" w:line="223" w:lineRule="auto"/>
            </w:pPr>
            <w:r>
              <w:rPr>
                <w:rFonts w:ascii="Times New Roman" w:hAnsi="Times New Roman"/>
                <w:sz w:val="13"/>
              </w:rPr>
              <w:t>Num. 33:38–39</w:t>
            </w:r>
          </w:p>
        </w:tc>
        <w:tc>
          <w:tcPr>
            <w:tcW w:type="dxa" w:w="3561"/>
            <w:vAlign w:val="top"/>
          </w:tcPr>
          <w:p>
            <w:pPr>
              <w:spacing w:after="0" w:line="223" w:lineRule="auto"/>
            </w:pPr>
            <w:r>
              <w:rPr>
                <w:rFonts w:ascii="Times New Roman" w:hAnsi="Times New Roman"/>
                <w:sz w:val="13"/>
              </w:rPr>
              <w:t>Aaron’s death</w:t>
            </w:r>
          </w:p>
        </w:tc>
        <w:tc>
          <w:tcPr>
            <w:tcW w:type="dxa" w:w="3561"/>
            <w:vAlign w:val="top"/>
          </w:tcPr>
          <w:p>
            <w:pPr>
              <w:spacing w:after="0" w:line="223" w:lineRule="auto"/>
            </w:pPr>
            <w:r>
              <w:rPr>
                <w:rFonts w:ascii="Times New Roman" w:hAnsi="Times New Roman"/>
                <w:sz w:val="13"/>
              </w:rPr>
              <w:t>Year 40, month 5, day 1; age 123.</w:t>
            </w:r>
          </w:p>
        </w:tc>
      </w:tr>
      <w:tr>
        <w:tc>
          <w:tcPr>
            <w:tcW w:type="dxa" w:w="3561"/>
            <w:vAlign w:val="top"/>
          </w:tcPr>
          <w:p>
            <w:pPr>
              <w:spacing w:after="0" w:line="223" w:lineRule="auto"/>
            </w:pPr>
            <w:r>
              <w:rPr>
                <w:rFonts w:ascii="Times New Roman" w:hAnsi="Times New Roman"/>
                <w:sz w:val="13"/>
              </w:rPr>
              <w:t>Num. 33:48–49</w:t>
            </w:r>
          </w:p>
        </w:tc>
        <w:tc>
          <w:tcPr>
            <w:tcW w:type="dxa" w:w="3561"/>
            <w:vAlign w:val="top"/>
          </w:tcPr>
          <w:p>
            <w:pPr>
              <w:spacing w:after="0" w:line="223" w:lineRule="auto"/>
            </w:pPr>
            <w:r>
              <w:rPr>
                <w:rFonts w:ascii="Times New Roman" w:hAnsi="Times New Roman"/>
                <w:sz w:val="13"/>
              </w:rPr>
              <w:t>plains of Moab</w:t>
            </w:r>
          </w:p>
        </w:tc>
        <w:tc>
          <w:tcPr>
            <w:tcW w:type="dxa" w:w="3561"/>
            <w:vAlign w:val="top"/>
          </w:tcPr>
          <w:p>
            <w:pPr>
              <w:spacing w:after="0" w:line="223" w:lineRule="auto"/>
            </w:pPr>
            <w:r>
              <w:rPr>
                <w:rFonts w:ascii="Times New Roman" w:hAnsi="Times New Roman"/>
                <w:sz w:val="13"/>
              </w:rPr>
              <w:t>Beth-jesimoth to Abel-shittim.</w:t>
            </w:r>
          </w:p>
        </w:tc>
      </w:tr>
      <w:tr>
        <w:tc>
          <w:tcPr>
            <w:tcW w:type="dxa" w:w="3561"/>
            <w:vAlign w:val="top"/>
          </w:tcPr>
          <w:p>
            <w:pPr>
              <w:spacing w:after="0" w:line="223" w:lineRule="auto"/>
            </w:pPr>
            <w:r>
              <w:rPr>
                <w:rFonts w:ascii="Times New Roman" w:hAnsi="Times New Roman"/>
                <w:sz w:val="13"/>
              </w:rPr>
              <w:t>Num. 33:52</w:t>
            </w:r>
          </w:p>
        </w:tc>
        <w:tc>
          <w:tcPr>
            <w:tcW w:type="dxa" w:w="3561"/>
            <w:vAlign w:val="top"/>
          </w:tcPr>
          <w:p>
            <w:pPr>
              <w:spacing w:after="0" w:line="223" w:lineRule="auto"/>
            </w:pPr>
            <w:r>
              <w:rPr>
                <w:rFonts w:ascii="Times New Roman" w:hAnsi="Times New Roman"/>
                <w:sz w:val="13"/>
              </w:rPr>
              <w:t>maskiyyot / molten images / bamoth</w:t>
            </w:r>
          </w:p>
        </w:tc>
        <w:tc>
          <w:tcPr>
            <w:tcW w:type="dxa" w:w="3561"/>
            <w:vAlign w:val="top"/>
          </w:tcPr>
          <w:p>
            <w:pPr>
              <w:spacing w:after="0" w:line="223" w:lineRule="auto"/>
            </w:pPr>
            <w:r>
              <w:rPr>
                <w:rFonts w:ascii="Times New Roman" w:hAnsi="Times New Roman"/>
                <w:sz w:val="13"/>
              </w:rPr>
              <w:t>Figured images, molten images, high places.</w:t>
            </w:r>
          </w:p>
        </w:tc>
      </w:tr>
      <w:tr>
        <w:tc>
          <w:tcPr>
            <w:tcW w:type="dxa" w:w="3561"/>
            <w:vAlign w:val="top"/>
          </w:tcPr>
          <w:p>
            <w:pPr>
              <w:spacing w:after="0" w:line="223" w:lineRule="auto"/>
            </w:pPr>
            <w:r>
              <w:rPr>
                <w:rFonts w:ascii="Times New Roman" w:hAnsi="Times New Roman"/>
                <w:sz w:val="13"/>
              </w:rPr>
              <w:t>Num. 33:52</w:t>
            </w:r>
          </w:p>
        </w:tc>
        <w:tc>
          <w:tcPr>
            <w:tcW w:type="dxa" w:w="3561"/>
            <w:vAlign w:val="top"/>
          </w:tcPr>
          <w:p>
            <w:pPr>
              <w:spacing w:after="0" w:line="223" w:lineRule="auto"/>
            </w:pPr>
            <w:r>
              <w:rPr>
                <w:rFonts w:ascii="Times New Roman" w:hAnsi="Times New Roman"/>
                <w:sz w:val="13"/>
              </w:rPr>
              <w:t>universal iconoclasm</w:t>
            </w:r>
          </w:p>
        </w:tc>
        <w:tc>
          <w:tcPr>
            <w:tcW w:type="dxa" w:w="3561"/>
            <w:vAlign w:val="top"/>
          </w:tcPr>
          <w:p>
            <w:pPr>
              <w:spacing w:after="0" w:line="223" w:lineRule="auto"/>
            </w:pPr>
            <w:r>
              <w:rPr>
                <w:rFonts w:ascii="Times New Roman" w:hAnsi="Times New Roman"/>
                <w:sz w:val="13"/>
              </w:rPr>
              <w:t>Not authorised; specific Canaan conquest command.</w:t>
            </w:r>
          </w:p>
        </w:tc>
      </w:tr>
      <w:tr>
        <w:tc>
          <w:tcPr>
            <w:tcW w:type="dxa" w:w="3561"/>
            <w:vAlign w:val="top"/>
          </w:tcPr>
          <w:p>
            <w:pPr>
              <w:spacing w:after="0" w:line="223" w:lineRule="auto"/>
            </w:pPr>
            <w:r>
              <w:rPr>
                <w:rFonts w:ascii="Times New Roman" w:hAnsi="Times New Roman"/>
                <w:sz w:val="13"/>
              </w:rPr>
              <w:t>Num. 33:54</w:t>
            </w:r>
          </w:p>
        </w:tc>
        <w:tc>
          <w:tcPr>
            <w:tcW w:type="dxa" w:w="3561"/>
            <w:vAlign w:val="top"/>
          </w:tcPr>
          <w:p>
            <w:pPr>
              <w:spacing w:after="0" w:line="223" w:lineRule="auto"/>
            </w:pPr>
            <w:r>
              <w:rPr>
                <w:rFonts w:ascii="Times New Roman" w:hAnsi="Times New Roman"/>
                <w:sz w:val="13"/>
              </w:rPr>
              <w:t>lot + proportional inheritance</w:t>
            </w:r>
          </w:p>
        </w:tc>
        <w:tc>
          <w:tcPr>
            <w:tcW w:type="dxa" w:w="3561"/>
            <w:vAlign w:val="top"/>
          </w:tcPr>
          <w:p>
            <w:pPr>
              <w:spacing w:after="0" w:line="223" w:lineRule="auto"/>
            </w:pPr>
            <w:r>
              <w:rPr>
                <w:rFonts w:ascii="Times New Roman" w:hAnsi="Times New Roman"/>
                <w:sz w:val="13"/>
              </w:rPr>
              <w:t>Same principle as Num. 26.</w:t>
            </w:r>
          </w:p>
        </w:tc>
      </w:tr>
      <w:tr>
        <w:tc>
          <w:tcPr>
            <w:tcW w:type="dxa" w:w="3561"/>
            <w:vAlign w:val="top"/>
          </w:tcPr>
          <w:p>
            <w:pPr>
              <w:spacing w:after="0" w:line="223" w:lineRule="auto"/>
            </w:pPr>
            <w:r>
              <w:rPr>
                <w:rFonts w:ascii="Times New Roman" w:hAnsi="Times New Roman"/>
                <w:sz w:val="13"/>
              </w:rPr>
              <w:t>Num. 33:55</w:t>
            </w:r>
          </w:p>
        </w:tc>
        <w:tc>
          <w:tcPr>
            <w:tcW w:type="dxa" w:w="3561"/>
            <w:vAlign w:val="top"/>
          </w:tcPr>
          <w:p>
            <w:pPr>
              <w:spacing w:after="0" w:line="223" w:lineRule="auto"/>
            </w:pPr>
            <w:r>
              <w:rPr>
                <w:rFonts w:ascii="Times New Roman" w:hAnsi="Times New Roman"/>
                <w:sz w:val="13"/>
              </w:rPr>
              <w:t>pricks/barbs + thorns</w:t>
            </w:r>
          </w:p>
        </w:tc>
        <w:tc>
          <w:tcPr>
            <w:tcW w:type="dxa" w:w="3561"/>
            <w:vAlign w:val="top"/>
          </w:tcPr>
          <w:p>
            <w:pPr>
              <w:spacing w:after="0" w:line="223" w:lineRule="auto"/>
            </w:pPr>
            <w:r>
              <w:rPr>
                <w:rFonts w:ascii="Times New Roman" w:hAnsi="Times New Roman"/>
                <w:sz w:val="13"/>
              </w:rPr>
              <w:t>Continuing hostile/corrupting affliction.</w:t>
            </w:r>
          </w:p>
        </w:tc>
      </w:tr>
      <w:tr>
        <w:tc>
          <w:tcPr>
            <w:tcW w:type="dxa" w:w="3561"/>
            <w:vAlign w:val="top"/>
          </w:tcPr>
          <w:p>
            <w:pPr>
              <w:spacing w:after="0" w:line="223" w:lineRule="auto"/>
            </w:pPr>
            <w:r>
              <w:rPr>
                <w:rFonts w:ascii="Times New Roman" w:hAnsi="Times New Roman"/>
                <w:sz w:val="13"/>
              </w:rPr>
              <w:t>Josh. 23:13; Judg. 2:3</w:t>
            </w:r>
          </w:p>
        </w:tc>
        <w:tc>
          <w:tcPr>
            <w:tcW w:type="dxa" w:w="3561"/>
            <w:vAlign w:val="top"/>
          </w:tcPr>
          <w:p>
            <w:pPr>
              <w:spacing w:after="0" w:line="223" w:lineRule="auto"/>
            </w:pPr>
            <w:r>
              <w:rPr>
                <w:rFonts w:ascii="Times New Roman" w:hAnsi="Times New Roman"/>
                <w:sz w:val="13"/>
              </w:rPr>
              <w:t>warning repeated</w:t>
            </w:r>
          </w:p>
        </w:tc>
        <w:tc>
          <w:tcPr>
            <w:tcW w:type="dxa" w:w="3561"/>
            <w:vAlign w:val="top"/>
          </w:tcPr>
          <w:p>
            <w:pPr>
              <w:spacing w:after="0" w:line="223" w:lineRule="auto"/>
            </w:pPr>
            <w:r>
              <w:rPr>
                <w:rFonts w:ascii="Times New Roman" w:hAnsi="Times New Roman"/>
                <w:sz w:val="13"/>
              </w:rPr>
              <w:t>Later failure fulfils principle.</w:t>
            </w:r>
          </w:p>
        </w:tc>
      </w:tr>
      <w:tr>
        <w:tc>
          <w:tcPr>
            <w:tcW w:type="dxa" w:w="3561"/>
            <w:vAlign w:val="top"/>
          </w:tcPr>
          <w:p>
            <w:pPr>
              <w:spacing w:after="0" w:line="223" w:lineRule="auto"/>
            </w:pPr>
            <w:r>
              <w:rPr>
                <w:rFonts w:ascii="Times New Roman" w:hAnsi="Times New Roman"/>
                <w:sz w:val="13"/>
              </w:rPr>
              <w:t>Num. 33:56</w:t>
            </w:r>
          </w:p>
        </w:tc>
        <w:tc>
          <w:tcPr>
            <w:tcW w:type="dxa" w:w="3561"/>
            <w:vAlign w:val="top"/>
          </w:tcPr>
          <w:p>
            <w:pPr>
              <w:spacing w:after="0" w:line="223" w:lineRule="auto"/>
            </w:pPr>
            <w:r>
              <w:rPr>
                <w:rFonts w:ascii="Times New Roman" w:hAnsi="Times New Roman"/>
                <w:sz w:val="13"/>
              </w:rPr>
              <w:t>same judgment on Israel</w:t>
            </w:r>
          </w:p>
        </w:tc>
        <w:tc>
          <w:tcPr>
            <w:tcW w:type="dxa" w:w="3561"/>
            <w:vAlign w:val="top"/>
          </w:tcPr>
          <w:p>
            <w:pPr>
              <w:spacing w:after="0" w:line="223" w:lineRule="auto"/>
            </w:pPr>
            <w:r>
              <w:rPr>
                <w:rFonts w:ascii="Times New Roman" w:hAnsi="Times New Roman"/>
                <w:sz w:val="13"/>
              </w:rPr>
              <w:t>Covenant privilege does not remove accountability.</w:t>
            </w:r>
          </w:p>
        </w:tc>
      </w:tr>
    </w:tbl>
    <w:p>
      <w:pPr>
        <w:pStyle w:val="Heading1"/>
      </w:pPr>
      <w:r>
        <w:t>RESIDUAL UNCERTAINTIES</w:t>
      </w:r>
    </w:p>
    <w:p>
      <w:pPr/>
      <w:r>
        <w:rPr>
          <w:i w:val="0"/>
        </w:rPr>
        <w:t>The route of the sea crossing, Sinai, Rithmah, and many wilderness stations is unresolved. Mansfield’s detailed map, his Rithmah=Kadesh identification and numerous spiritualised name etymologies are retained only as possible exposition, not as geographical or lexical fact.</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