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NUMBERS 35</w:t>
      </w:r>
    </w:p>
    <w:p>
      <w:pPr>
        <w:pStyle w:val="Subtitle"/>
      </w:pPr>
      <w:r>
        <w:t>LEVITICAL CITIES • PASTURELAND • SIX CITIES OF REFUGE • MURDER AND UNINTENTIONAL KILLING DISTINGUISHED • THE BLOOD-AVENGER • CONGREGATIONAL JUDGMENT • HIGH PRIEST’S DEATH • TWO OR MORE WITNESSES • BLOOD POLLUTES THE LAND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 03-Lev12-Num36.PDF, mainly pp. 96–98; cross-checked with Mansfield’s Numbers Expositor Chapter 35, Deuteronomy 19 and Joshua 20–21.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Numbers 35 distributes Levites throughout Israel and establishes six cities of refuge within the forty-eight Levitical cities. The arrangement combines instruction, sanctuary from premature vengeance and formal judgment.</w:t>
      </w:r>
    </w:p>
    <w:p>
      <w:pPr/>
      <w:r>
        <w:rPr>
          <w:i w:val="0"/>
        </w:rPr>
        <w:t>The law distinguishes deliberate murder from unintentional manslaughter while still treating death as a grave matter. Yahweh’s presence in the land means bloodshed cannot simply be commodified or ignored.</w:t>
      </w:r>
    </w:p>
    <w:p>
      <w:pPr>
        <w:pStyle w:val="Heading1"/>
      </w:pPr>
      <w:r>
        <w:t>FORTY-EIGHT LEVITICAL CITIES — NUMBERS 35:1–8</w:t>
      </w:r>
    </w:p>
    <w:p>
      <w:pPr>
        <w:pStyle w:val="Heading2"/>
      </w:pPr>
      <w:r>
        <w:t>Numbers 35:1–3 — cities and migrash</w:t>
      </w:r>
    </w:p>
    <w:p>
      <w:pPr/>
      <w:r>
        <w:rPr>
          <w:i w:val="0"/>
        </w:rPr>
        <w:t>The tribes must give Levites cities to dwell in with migrash, open pastureland around them for livestock and possessions.</w:t>
      </w:r>
    </w:p>
    <w:p>
      <w:pPr/>
      <w:r>
        <w:rPr>
          <w:i w:val="0"/>
        </w:rPr>
        <w:t>KJV “suburbs” means surrounding open/pasture ground, not modern urban suburbs.</w:t>
      </w:r>
    </w:p>
    <w:p>
      <w:pPr>
        <w:pStyle w:val="Heading2"/>
      </w:pPr>
      <w:r>
        <w:t>Numbers 35:4–5 — 1,000 and 2,000 cubits</w:t>
      </w:r>
    </w:p>
    <w:p>
      <w:pPr/>
      <w:r>
        <w:rPr>
          <w:i w:val="0"/>
        </w:rPr>
        <w:t>Verse 4 describes pasture extending 1,000 cubits from the city wall; verse 5 gives 2,000-cubit measurements on the four sides.</w:t>
      </w:r>
    </w:p>
    <w:p>
      <w:pPr/>
      <w:r>
        <w:rPr>
          <w:i w:val="0"/>
        </w:rPr>
        <w:t>The geometry has been interpreted in several ways—an outer 2,000-cubit square around a central city, or 1,000 pasture beyond city dimensions, among others. Mansfield’s diagram is one reconstruction and should not be treated as certain.</w:t>
      </w:r>
    </w:p>
    <w:p>
      <w:pPr>
        <w:pStyle w:val="Heading2"/>
      </w:pPr>
      <w:r>
        <w:t>Numbers 35:6–7 — six refuge cities within forty-eight</w:t>
      </w:r>
    </w:p>
    <w:p>
      <w:pPr/>
      <w:r>
        <w:rPr>
          <w:i w:val="0"/>
        </w:rPr>
        <w:t>Six of the forty-eight Levitical cities are cities of refuge; forty-two additional cities make the total forty-eight.</w:t>
      </w:r>
    </w:p>
    <w:p>
      <w:pPr>
        <w:pStyle w:val="Heading2"/>
      </w:pPr>
      <w:r>
        <w:t>Numbers 35:8 — proportional contribution</w:t>
      </w:r>
    </w:p>
    <w:p>
      <w:pPr/>
      <w:r>
        <w:rPr>
          <w:i w:val="0"/>
        </w:rPr>
        <w:t>Tribes with larger inheritances give more cities and those with smaller inheritances give fewer.</w:t>
      </w:r>
    </w:p>
    <w:p>
      <w:pPr/>
      <w:r>
        <w:rPr>
          <w:i w:val="0"/>
        </w:rPr>
        <w:t>The Levites have no normal tribal territory yet are distributed throughout Israel.</w:t>
      </w:r>
    </w:p>
    <w:p>
      <w:pPr>
        <w:pStyle w:val="Heading1"/>
      </w:pPr>
      <w:r>
        <w:t>SIX CITIES OF REFUGE — NUMBERS 35:9–15</w:t>
      </w:r>
    </w:p>
    <w:p>
      <w:pPr>
        <w:pStyle w:val="Heading2"/>
      </w:pPr>
      <w:r>
        <w:t>Numbers 35:9–12 — refuge before judgment</w:t>
      </w:r>
    </w:p>
    <w:p>
      <w:pPr/>
      <w:r>
        <w:rPr>
          <w:i w:val="0"/>
        </w:rPr>
        <w:t>Israel must provide cities where a manslayer who kills a person bishgagah, unintentionally/in error, may flee from the go’el haddam, blood-avenger/redeemer, until standing before the congregation in judgment.</w:t>
      </w:r>
    </w:p>
    <w:p>
      <w:pPr/>
      <w:r>
        <w:rPr>
          <w:i w:val="0"/>
        </w:rPr>
        <w:t>The refuge prevents premature killing and creates space for due process. Mansfield’s suggestion that an avenger normally executed first without formal investigation overstates the system; the Pentateuch places the avenger within legal/elders’ procedures.</w:t>
      </w:r>
    </w:p>
    <w:p>
      <w:pPr>
        <w:pStyle w:val="Heading2"/>
      </w:pPr>
      <w:r>
        <w:t>Numbers 35:13–14 — three east, three west</w:t>
      </w:r>
    </w:p>
    <w:p>
      <w:pPr/>
      <w:r>
        <w:rPr>
          <w:i w:val="0"/>
        </w:rPr>
        <w:t>Six refuge cities are appointed, three east of Jordan and three in Canaan, making access available on both sides.</w:t>
      </w:r>
    </w:p>
    <w:p>
      <w:pPr>
        <w:pStyle w:val="Heading2"/>
      </w:pPr>
      <w:r>
        <w:t>Numbers 35:15 — Israelite, ger and resident alike</w:t>
      </w:r>
    </w:p>
    <w:p>
      <w:pPr/>
      <w:r>
        <w:rPr>
          <w:i w:val="0"/>
        </w:rPr>
        <w:t>The refuge is available to Israelite, ger/resident stranger and sojourner when the killing is unintentional.</w:t>
      </w:r>
    </w:p>
    <w:p>
      <w:pPr/>
      <w:r>
        <w:rPr>
          <w:i w:val="0"/>
        </w:rPr>
        <w:t>The law protects persons by case-status rather than ethnicity.</w:t>
      </w:r>
    </w:p>
    <w:p>
      <w:pPr>
        <w:pStyle w:val="Heading1"/>
      </w:pPr>
      <w:r>
        <w:t>MURDER DISTINGUISHED — NUMBERS 35:16–21</w:t>
      </w:r>
    </w:p>
    <w:p>
      <w:pPr>
        <w:pStyle w:val="Heading2"/>
      </w:pPr>
      <w:r>
        <w:t>Numbers 35:16–18 — lethal instruments</w:t>
      </w:r>
    </w:p>
    <w:p>
      <w:pPr/>
      <w:r>
        <w:rPr>
          <w:i w:val="0"/>
        </w:rPr>
        <w:t>Intentional fatal blows with iron, a lethal stone or a lethal wooden instrument are treated as murder, with death as the stated penalty.</w:t>
      </w:r>
    </w:p>
    <w:p>
      <w:pPr/>
      <w:r>
        <w:rPr>
          <w:i w:val="0"/>
        </w:rPr>
        <w:t>The examples establish strong evidential presumptions from weapon and fatal action; they should be read with the explicit hatred/lying-in-wait tests that follow.</w:t>
      </w:r>
    </w:p>
    <w:p>
      <w:pPr>
        <w:pStyle w:val="Heading2"/>
      </w:pPr>
      <w:r>
        <w:t>Numbers 35:19 — go’el haddam</w:t>
      </w:r>
    </w:p>
    <w:p>
      <w:pPr/>
      <w:r>
        <w:rPr>
          <w:i w:val="0"/>
        </w:rPr>
        <w:t>The go’el haddam, blood-avenger/redeemer, carries out the sentence against a murderer.</w:t>
      </w:r>
    </w:p>
    <w:p>
      <w:pPr/>
      <w:r>
        <w:rPr>
          <w:i w:val="0"/>
        </w:rPr>
        <w:t>`Go’el` is the same kinship-root used for a redeemer, but in this setting the role is avenging shed family blood under covenant law—not private licence for revenge outside judicial determination.</w:t>
      </w:r>
    </w:p>
    <w:p>
      <w:pPr>
        <w:pStyle w:val="Heading2"/>
      </w:pPr>
      <w:r>
        <w:t>Numbers 35:20–21 — hatred and lying in wait</w:t>
      </w:r>
    </w:p>
    <w:p>
      <w:pPr/>
      <w:r>
        <w:rPr>
          <w:i w:val="0"/>
        </w:rPr>
        <w:t>If a person thrusts from hatred, throws at another while lying in wait, or strikes in enmity so that death follows, the killing is murder.</w:t>
      </w:r>
    </w:p>
    <w:p>
      <w:pPr>
        <w:pStyle w:val="Heading1"/>
      </w:pPr>
      <w:r>
        <w:t>UNINTENTIONAL MANSLAUGHTER — NUMBERS 35:22–25</w:t>
      </w:r>
    </w:p>
    <w:p>
      <w:pPr>
        <w:pStyle w:val="Heading2"/>
      </w:pPr>
      <w:r>
        <w:t>Numbers 35:22–23 — no enmity or intent</w:t>
      </w:r>
    </w:p>
    <w:p>
      <w:pPr/>
      <w:r>
        <w:rPr>
          <w:i w:val="0"/>
        </w:rPr>
        <w:t>If the fatal act occurs suddenly without enmity or lying in wait, or through an object thrown without seeing the victim, the case falls into the unintentional category.</w:t>
      </w:r>
    </w:p>
    <w:p>
      <w:pPr>
        <w:pStyle w:val="Heading2"/>
      </w:pPr>
      <w:r>
        <w:t>Numbers 35:24–25 — congregation judges and restores to refuge</w:t>
      </w:r>
    </w:p>
    <w:p>
      <w:pPr/>
      <w:r>
        <w:rPr>
          <w:i w:val="0"/>
        </w:rPr>
        <w:t>The congregation judges between the manslayer and the blood-avenger. If the killing is unintentional, the congregation rescues the manslayer from the avenger and returns the person to the refuge city.</w:t>
      </w:r>
    </w:p>
    <w:p>
      <w:pPr/>
      <w:r>
        <w:rPr>
          <w:i w:val="0"/>
        </w:rPr>
        <w:t>The refuge is both protection and restraint; it is not acquittal followed by unrestricted freedom.</w:t>
      </w:r>
    </w:p>
    <w:p>
      <w:pPr>
        <w:pStyle w:val="Heading2"/>
      </w:pPr>
      <w:r>
        <w:t>Until the death of the high priest</w:t>
      </w:r>
    </w:p>
    <w:p>
      <w:pPr/>
      <w:r>
        <w:rPr>
          <w:i w:val="0"/>
        </w:rPr>
        <w:t>The manslayer remains in the refuge until the death of the serving high priest.</w:t>
      </w:r>
    </w:p>
    <w:p>
      <w:pPr/>
      <w:r>
        <w:rPr>
          <w:i w:val="0"/>
        </w:rPr>
        <w:t>The text does not explain why the high priest’s death terminates the restriction. Christological application is suggestive, but the New Testament does not explicitly interpret this specific legal feature. Hebrews 6:18 uses “fled for refuge” language likely echoing the institution without naming it directly.</w:t>
      </w:r>
    </w:p>
    <w:p>
      <w:pPr>
        <w:pStyle w:val="Heading1"/>
      </w:pPr>
      <w:r>
        <w:t>LEAVING THE CITY — NUMBERS 35:26–28</w:t>
      </w:r>
    </w:p>
    <w:p>
      <w:pPr>
        <w:pStyle w:val="Heading2"/>
      </w:pPr>
      <w:r>
        <w:t>Numbers 35:26–27 — outside refuge before release</w:t>
      </w:r>
    </w:p>
    <w:p>
      <w:pPr/>
      <w:r>
        <w:rPr>
          <w:i w:val="0"/>
        </w:rPr>
        <w:t>If the manslayer leaves the refuge boundary before the high priest’s death and the blood-avenger finds and kills the person, the avenger incurs no bloodguilt under this law.</w:t>
      </w:r>
    </w:p>
    <w:p>
      <w:pPr/>
      <w:r>
        <w:rPr>
          <w:i w:val="0"/>
        </w:rPr>
        <w:t>This severe provision reinforces the city’s protective legal boundary.</w:t>
      </w:r>
    </w:p>
    <w:p>
      <w:pPr>
        <w:pStyle w:val="Heading2"/>
      </w:pPr>
      <w:r>
        <w:t>Numbers 35:28 — return after high priest’s death</w:t>
      </w:r>
    </w:p>
    <w:p>
      <w:pPr/>
      <w:r>
        <w:rPr>
          <w:i w:val="0"/>
        </w:rPr>
        <w:t>After the high priest dies, the manslayer may return to the land of possession.</w:t>
      </w:r>
    </w:p>
    <w:p>
      <w:pPr>
        <w:pStyle w:val="Heading1"/>
      </w:pPr>
      <w:r>
        <w:t>WITNESSES, RANSOM AND LAND POLLUTION — NUMBERS 35:29–34</w:t>
      </w:r>
    </w:p>
    <w:p>
      <w:pPr>
        <w:pStyle w:val="Heading2"/>
      </w:pPr>
      <w:r>
        <w:t>Numbers 35:29–30 — one witness is insufficient</w:t>
      </w:r>
    </w:p>
    <w:p>
      <w:pPr/>
      <w:r>
        <w:rPr>
          <w:i w:val="0"/>
        </w:rPr>
        <w:t>A murderer is to be convicted on witness testimony, but one witness alone is insufficient for a death sentence.</w:t>
      </w:r>
    </w:p>
    <w:p>
      <w:pPr/>
      <w:r>
        <w:rPr>
          <w:i w:val="0"/>
        </w:rPr>
        <w:t>Deuteronomy 19:15 supplies the fuller rule of two or three witnesses.</w:t>
      </w:r>
    </w:p>
    <w:p>
      <w:pPr>
        <w:pStyle w:val="Heading2"/>
      </w:pPr>
      <w:r>
        <w:t>Numbers 35:31–32 — no ransom</w:t>
      </w:r>
    </w:p>
    <w:p>
      <w:pPr/>
      <w:r>
        <w:rPr>
          <w:i w:val="0"/>
        </w:rPr>
        <w:t>No monetary ransom may substitute for the life of a convicted murderer, and no ransom may buy an early return for a manslayer required to remain in refuge until the high priest’s death.</w:t>
      </w:r>
    </w:p>
    <w:p>
      <w:pPr/>
      <w:r>
        <w:rPr>
          <w:i w:val="0"/>
        </w:rPr>
        <w:t>Human life and justice are not reducible to financial compensation.</w:t>
      </w:r>
    </w:p>
    <w:p>
      <w:pPr>
        <w:pStyle w:val="Heading2"/>
      </w:pPr>
      <w:r>
        <w:t>Numbers 35:33 — shed blood pollutes the land</w:t>
      </w:r>
    </w:p>
    <w:p>
      <w:pPr/>
      <w:r>
        <w:rPr>
          <w:i w:val="0"/>
        </w:rPr>
        <w:t>Bloodshed pollutes/defiles the land, and the law states that atonement/cleansing for deliberately shed blood cannot be secured by payment in place of the murderer’s life.</w:t>
      </w:r>
    </w:p>
    <w:p>
      <w:pPr/>
      <w:r>
        <w:rPr>
          <w:i w:val="0"/>
        </w:rPr>
        <w:t>This belongs to Israel’s covenant penal system and should not be mechanically imposed as a modern civil code.</w:t>
      </w:r>
    </w:p>
    <w:p>
      <w:pPr>
        <w:pStyle w:val="Heading2"/>
      </w:pPr>
      <w:r>
        <w:t>Numbers 35:34 — “I Yahweh dwell among the children of Israel”</w:t>
      </w:r>
    </w:p>
    <w:p>
      <w:pPr/>
      <w:r>
        <w:rPr>
          <w:i w:val="0"/>
        </w:rPr>
        <w:t>Israel must not defile the land because Yahweh dwells in its midst.</w:t>
      </w:r>
    </w:p>
    <w:p>
      <w:pPr/>
      <w:r>
        <w:rPr>
          <w:i w:val="0"/>
        </w:rPr>
        <w:t>The sanctity of life and land is grounded finally in Divine presence.</w:t>
      </w:r>
    </w:p>
    <w:p>
      <w:pPr>
        <w:pStyle w:val="Heading1"/>
      </w:pPr>
      <w:r>
        <w:t>TYPOLOGY WITH CONTROL</w:t>
      </w:r>
    </w:p>
    <w:p>
      <w:pPr>
        <w:pStyle w:val="Heading2"/>
      </w:pPr>
      <w:r>
        <w:t>Refuge and Christ</w:t>
      </w:r>
    </w:p>
    <w:p>
      <w:pPr/>
      <w:r>
        <w:rPr>
          <w:i w:val="0"/>
        </w:rPr>
        <w:t>Hebrews 6:18 describes believers as those who have “fled for refuge to lay hold upon the hope set before us,” making the refuge concept an appropriate Gospel analogy.</w:t>
      </w:r>
    </w:p>
    <w:p>
      <w:pPr/>
      <w:r>
        <w:rPr>
          <w:i w:val="0"/>
        </w:rPr>
        <w:t>However, Hebrews is anonymous in the text and does not explicitly identify each Numbers 35 detail—especially the high priest’s death—as a one-to-one Christological type. Mansfield’s fuller typology should therefore be presented as exposition rather than direct apostolic interpretation.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`migrash` means open pastureland, not modern suburb.</w:t>
      </w:r>
    </w:p>
    <w:p>
      <w:pPr>
        <w:ind w:left="259" w:hanging="202"/>
      </w:pPr>
      <w:r>
        <w:rPr>
          <w:b/>
        </w:rPr>
        <w:t xml:space="preserve">• </w:t>
      </w:r>
      <w:r>
        <w:t>The 1,000/2,000-cubit geometry is genuinely difficult.</w:t>
      </w:r>
    </w:p>
    <w:p>
      <w:pPr>
        <w:ind w:left="259" w:hanging="202"/>
      </w:pPr>
      <w:r>
        <w:rPr>
          <w:b/>
        </w:rPr>
        <w:t xml:space="preserve">• </w:t>
      </w:r>
      <w:r>
        <w:t>Six refuge cities are included within forty-eight Levitical cities.</w:t>
      </w:r>
    </w:p>
    <w:p>
      <w:pPr>
        <w:ind w:left="259" w:hanging="202"/>
      </w:pPr>
      <w:r>
        <w:rPr>
          <w:b/>
        </w:rPr>
        <w:t xml:space="preserve">• </w:t>
      </w:r>
      <w:r>
        <w:t>Refuge provides due process before vengeance, not escape from judgment.</w:t>
      </w:r>
    </w:p>
    <w:p>
      <w:pPr>
        <w:ind w:left="259" w:hanging="202"/>
      </w:pPr>
      <w:r>
        <w:rPr>
          <w:b/>
        </w:rPr>
        <w:t xml:space="preserve">• </w:t>
      </w:r>
      <w:r>
        <w:t>`go’el haddam` is the blood-avenger/redeemer operating within covenant law.</w:t>
      </w:r>
    </w:p>
    <w:p>
      <w:pPr>
        <w:ind w:left="259" w:hanging="202"/>
      </w:pPr>
      <w:r>
        <w:rPr>
          <w:b/>
        </w:rPr>
        <w:t xml:space="preserve">• </w:t>
      </w:r>
      <w:r>
        <w:t>Intent, enmity and circumstances distinguish murder from unintentional killing.</w:t>
      </w:r>
    </w:p>
    <w:p>
      <w:pPr>
        <w:ind w:left="259" w:hanging="202"/>
      </w:pPr>
      <w:r>
        <w:rPr>
          <w:b/>
        </w:rPr>
        <w:t xml:space="preserve">• </w:t>
      </w:r>
      <w:r>
        <w:t>The congregation judges and protects the unintentional manslayer.</w:t>
      </w:r>
    </w:p>
    <w:p>
      <w:pPr>
        <w:ind w:left="259" w:hanging="202"/>
      </w:pPr>
      <w:r>
        <w:rPr>
          <w:b/>
        </w:rPr>
        <w:t xml:space="preserve">• </w:t>
      </w:r>
      <w:r>
        <w:t>The manslayer remains in refuge until the high priest’s death; the precise rationale is not explained.</w:t>
      </w:r>
    </w:p>
    <w:p>
      <w:pPr>
        <w:ind w:left="259" w:hanging="202"/>
      </w:pPr>
      <w:r>
        <w:rPr>
          <w:b/>
        </w:rPr>
        <w:t xml:space="preserve">• </w:t>
      </w:r>
      <w:r>
        <w:t>One witness cannot secure a death sentence; Deuteronomy gives the two-or-three-witness rule.</w:t>
      </w:r>
    </w:p>
    <w:p>
      <w:pPr>
        <w:ind w:left="259" w:hanging="202"/>
      </w:pPr>
      <w:r>
        <w:rPr>
          <w:b/>
        </w:rPr>
        <w:t xml:space="preserve">• </w:t>
      </w:r>
      <w:r>
        <w:t>No ransom can purchase escape from murder’s sentence or shorten refuge.</w:t>
      </w:r>
    </w:p>
    <w:p>
      <w:pPr>
        <w:ind w:left="259" w:hanging="202"/>
      </w:pPr>
      <w:r>
        <w:rPr>
          <w:b/>
        </w:rPr>
        <w:t xml:space="preserve">• </w:t>
      </w:r>
      <w:r>
        <w:t>Bloodshed pollutes Yahweh’s land.</w:t>
      </w:r>
    </w:p>
    <w:p>
      <w:pPr>
        <w:ind w:left="259" w:hanging="202"/>
      </w:pPr>
      <w:r>
        <w:rPr>
          <w:b/>
        </w:rPr>
        <w:t xml:space="preserve">• </w:t>
      </w:r>
      <w:r>
        <w:t>Hebrews 6:18 supports refuge imagery, but detailed one-to-one typology should remain qualified.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pPr>
              <w:spacing w:after="0" w:line="206" w:lineRule="auto"/>
            </w:pPr>
            <w:r>
              <w:rPr>
                <w:rFonts w:ascii="Arial" w:hAnsi="Arial"/>
                <w:b/>
                <w:sz w:val="14"/>
              </w:rPr>
              <w:t>Location</w:t>
            </w:r>
          </w:p>
        </w:tc>
        <w:tc>
          <w:tcPr>
            <w:tcW w:type="dxa" w:w="3561"/>
          </w:tcPr>
          <w:p>
            <w:pPr>
              <w:spacing w:after="0" w:line="206" w:lineRule="auto"/>
            </w:pPr>
            <w:r>
              <w:rPr>
                <w:rFonts w:ascii="Arial" w:hAnsi="Arial"/>
                <w:b/>
                <w:sz w:val="14"/>
              </w:rPr>
              <w:t>Checked / corrected reading</w:t>
            </w:r>
          </w:p>
        </w:tc>
        <w:tc>
          <w:tcPr>
            <w:tcW w:type="dxa" w:w="3561"/>
          </w:tcPr>
          <w:p>
            <w:pPr>
              <w:spacing w:after="0" w:line="206" w:lineRule="auto"/>
            </w:pPr>
            <w:r>
              <w:rPr>
                <w:rFonts w:ascii="Arial" w:hAnsi="Arial"/>
                <w:b/>
                <w:sz w:val="14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35:2–3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migrash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Open pastureland around Levite cities.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35:4–5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1,000 / 2,000 cubits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Geometry debated; Mansfield diagram not certain.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35:6–7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6 + 42 = 48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Refuge cities within Levite-city total.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35:8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proportional city contribution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More inheritance gives more cities.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35:11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bishgagah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Unintentionally/in error.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35:12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refuge until judgment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Prevents premature avenger action.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35:12,19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go’el haddam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Blood-avenger/redeemer under legal process.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35:14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3 east + 3 west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Six refuge cities.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35:15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Israelite + ger + sojourner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Equal access for unintentional manslayer.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35:16–21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murder indicators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Lethal weapon, hatred, ambush/enmity.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35:22–25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unintentional category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No hatred/ambush; congregation judges.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35:25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until high priest dies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Release condition; theological rationale unstated.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Heb. 6:18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fled for refuge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Likely allusive Gospel imagery; not full legal exposition.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35:26–28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boundary and release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Protection conditional until high-priest death.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35:30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single witness insufficient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Compare Deut. 19:15 two/three witnesses.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35:31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no ransom for murderer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No financial substitution.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35:32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no ransom for early refuge release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Required stay cannot be bought off.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35:33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blood pollutes land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Covenant land-cleansing principle.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Num. 35:34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Yahweh dwells among Israel</w:t>
            </w:r>
          </w:p>
        </w:tc>
        <w:tc>
          <w:tcPr>
            <w:tcW w:type="dxa" w:w="3561"/>
            <w:vAlign w:val="top"/>
          </w:tcPr>
          <w:p>
            <w:pPr>
              <w:spacing w:after="0" w:line="206" w:lineRule="auto"/>
            </w:pPr>
            <w:r>
              <w:rPr>
                <w:rFonts w:ascii="Times New Roman" w:hAnsi="Times New Roman"/>
                <w:sz w:val="12"/>
              </w:rPr>
              <w:t>Ground of land holiness.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The exact geometry of Levitical pasturelands and the theological reason for release at the high priest’s death are not explained. The avenger’s role must be read alongside congregational/elder judgment rather than as uncontrolled vendetta. Mansfield’s detailed City-of-Refuge Christology is retained as typology, not described as an explicit Pauline interpretation.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06" w:right="778" w:bottom="706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NUMBERS 35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9" w:line="235" w:lineRule="auto"/>
    </w:pPr>
    <w:rPr>
      <w:rFonts w:ascii="Times New Roman" w:hAnsi="Times New Roman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" w:after="8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3" w:after="8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