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17</w:t>
      </w:r>
    </w:p>
    <w:p>
      <w:pPr>
        <w:pStyle w:val="Subtitle"/>
      </w:pPr>
      <w:r>
        <w:t>SOUND SACRIFICE • DILIGENT INQUIRY AND TWO OR THREE WITNESSES • HARD CASES AT YAHWEH’S CHOSEN PLACE • AUTHORITY UNDER THE LAW • THE FUTURE KING • NO MULTIPLIED HORSES, WIVES OR WEALTH • THE KING MUST READ THE LAW</w:t>
      </w:r>
    </w:p>
    <w:p>
      <w:pPr/>
      <w:r>
        <w:rPr>
          <w:i/>
        </w:rPr>
        <w:t>H. P. Mansfield Bible notes — checked and arranged in verse-by-verse Expositor style</w:t>
      </w:r>
    </w:p>
    <w:p>
      <w:pPr/>
      <w:r>
        <w:rPr>
          <w:i w:val="0"/>
        </w:rPr>
        <w:t>Source: HPB 04-Deu01-Jud04.PDF pp. 28–29; cross-checked with Mansfield’s Deuteronomy Expositor Chapter 17.</w:t>
      </w:r>
    </w:p>
    <w:p>
      <w:pPr>
        <w:pStyle w:val="Heading1"/>
      </w:pPr>
      <w:r>
        <w:t>CHAPTER OVERVIEW</w:t>
      </w:r>
    </w:p>
    <w:p>
      <w:pPr/>
      <w:r>
        <w:rPr>
          <w:i w:val="0"/>
        </w:rPr>
        <w:t>Deuteronomy 17 binds worship, justice and kingship under the same principle: Yahweh’s word governs every level of Israel’s life. Sacrifice must be acceptable, capital accusation must be corroborated, difficult cases must be decided by the appointed tribunal, and even a king remains a brother under the law.</w:t>
      </w:r>
    </w:p>
    <w:p>
      <w:pPr/>
      <w:r>
        <w:rPr>
          <w:i w:val="0"/>
        </w:rPr>
        <w:t>The monarchy is anticipated but tightly limited. Royal power may not build independence through horses, wives or immense wealth; the king’s defining discipline is continual reading and obedient humility before Yahweh.</w:t>
      </w:r>
    </w:p>
    <w:p>
      <w:pPr>
        <w:pStyle w:val="Heading1"/>
      </w:pPr>
      <w:r>
        <w:t>ACCEPTABLE SACRIFICE — DEUTERONOMY 17:1</w:t>
      </w:r>
    </w:p>
    <w:p>
      <w:pPr>
        <w:pStyle w:val="Heading2"/>
      </w:pPr>
      <w:r>
        <w:t>Deuteronomy 17:1 — no blemished or defective offering</w:t>
      </w:r>
    </w:p>
    <w:p>
      <w:pPr/>
      <w:r>
        <w:rPr>
          <w:i w:val="0"/>
        </w:rPr>
        <w:t>Israel must not sacrifice an ox or sheep with a blemish or any `dabar ra‘`, bad/evil defect or matter, because such an offering is an abomination to Yahweh.</w:t>
      </w:r>
    </w:p>
    <w:p>
      <w:pPr/>
      <w:r>
        <w:rPr>
          <w:i w:val="0"/>
        </w:rPr>
        <w:t>Leviticus 22 gives the fuller sacrificial-defect legislation. Christian typology may connect unblemished offerings with Christ’s sinlessness, but the verse itself regulates Israel’s sacrifices and does not say every physical blemish represents a particular moral vice.</w:t>
      </w:r>
    </w:p>
    <w:p>
      <w:pPr>
        <w:pStyle w:val="Heading1"/>
      </w:pPr>
      <w:r>
        <w:t>IDOLATRY: EVIDENCE BEFORE CAPITAL JUDGMENT — DEUTERONOMY 17:2–7</w:t>
      </w:r>
    </w:p>
    <w:p>
      <w:pPr>
        <w:pStyle w:val="Heading2"/>
      </w:pPr>
      <w:r>
        <w:t>Deuteronomy 17:2–3 — covenant transgression</w:t>
      </w:r>
    </w:p>
    <w:p>
      <w:pPr/>
      <w:r>
        <w:rPr>
          <w:i w:val="0"/>
        </w:rPr>
        <w:t>A man or woman who serves other gods or worships sun, moon or the host of heaven transgresses Yahweh’s covenant.</w:t>
      </w:r>
    </w:p>
    <w:p>
      <w:pPr>
        <w:pStyle w:val="Heading2"/>
      </w:pPr>
      <w:r>
        <w:t>Deuteronomy 17:4 — inquire diligently</w:t>
      </w:r>
    </w:p>
    <w:p>
      <w:pPr/>
      <w:r>
        <w:rPr>
          <w:i w:val="0"/>
        </w:rPr>
        <w:t>A report must be heard, investigated diligently and established as true and certain before judicial action.</w:t>
      </w:r>
    </w:p>
    <w:p>
      <w:pPr/>
      <w:r>
        <w:rPr>
          <w:i w:val="0"/>
        </w:rPr>
        <w:t>The chapter therefore rejects punishment on rumour or suspicion.</w:t>
      </w:r>
    </w:p>
    <w:p>
      <w:pPr>
        <w:pStyle w:val="Heading2"/>
      </w:pPr>
      <w:r>
        <w:t>Deuteronomy 17:5–6 — two or three witnesses</w:t>
      </w:r>
    </w:p>
    <w:p>
      <w:pPr/>
      <w:r>
        <w:rPr>
          <w:i w:val="0"/>
        </w:rPr>
        <w:t>Conviction for a capital offence requires two or three witnesses; one witness is insufficient.</w:t>
      </w:r>
    </w:p>
    <w:p>
      <w:pPr/>
      <w:r>
        <w:rPr>
          <w:i w:val="0"/>
        </w:rPr>
        <w:t>This corroboration principle is reused elsewhere in biblical judicial and ecclesial contexts, though Israel’s civil death penalty itself is not transferred to Christian congregations.</w:t>
      </w:r>
    </w:p>
    <w:p>
      <w:pPr>
        <w:pStyle w:val="Heading2"/>
      </w:pPr>
      <w:r>
        <w:t>Deuteronomy 17:7 — witnesses first</w:t>
      </w:r>
    </w:p>
    <w:p>
      <w:pPr/>
      <w:r>
        <w:rPr>
          <w:i w:val="0"/>
        </w:rPr>
        <w:t>The witnesses’ hands are first against the convicted offender, followed by the people, “so thou shalt put the evil away from among you.”</w:t>
      </w:r>
    </w:p>
    <w:p>
      <w:pPr/>
      <w:r>
        <w:rPr>
          <w:i w:val="0"/>
        </w:rPr>
        <w:t>The requirement makes witnesses bear direct responsibility for testimony. It belongs to formal Israelite judgment, not private vengeance.</w:t>
      </w:r>
    </w:p>
    <w:p>
      <w:pPr>
        <w:pStyle w:val="Heading1"/>
      </w:pPr>
      <w:r>
        <w:t>HARD CASES AND THE CENTRAL TRIBUNAL — DEUTERONOMY 17:8–13</w:t>
      </w:r>
    </w:p>
    <w:p>
      <w:pPr>
        <w:pStyle w:val="Heading2"/>
      </w:pPr>
      <w:r>
        <w:t>Deuteronomy 17:8 — cases too difficult locally</w:t>
      </w:r>
    </w:p>
    <w:p>
      <w:pPr/>
      <w:r>
        <w:rPr>
          <w:i w:val="0"/>
        </w:rPr>
        <w:t>Cases involving bloodshed, legal claim, assault or other controversy that are too difficult for the local court are taken to the place Yahweh chooses.</w:t>
      </w:r>
    </w:p>
    <w:p>
      <w:pPr>
        <w:pStyle w:val="Heading2"/>
      </w:pPr>
      <w:r>
        <w:t>Deuteronomy 17:9–11 — priests and the judge</w:t>
      </w:r>
    </w:p>
    <w:p>
      <w:pPr/>
      <w:r>
        <w:rPr>
          <w:i w:val="0"/>
        </w:rPr>
        <w:t>The Levitical priests and the judge serving in those days give judgment according to the law; Israel must follow the ruling without turning right or left.</w:t>
      </w:r>
    </w:p>
    <w:p>
      <w:pPr/>
      <w:r>
        <w:rPr>
          <w:i w:val="0"/>
        </w:rPr>
        <w:t>The tribunal is authoritative because it is charged to apply Yahweh’s Torah. The text does not grant judges authority to invent law contrary to revelation.</w:t>
      </w:r>
    </w:p>
    <w:p>
      <w:pPr>
        <w:pStyle w:val="Heading2"/>
      </w:pPr>
      <w:r>
        <w:t>Deuteronomy 17:12–13 — presumptuous refusal</w:t>
      </w:r>
    </w:p>
    <w:p>
      <w:pPr/>
      <w:r>
        <w:rPr>
          <w:i w:val="0"/>
        </w:rPr>
        <w:t>The person who arrogantly refuses to heed the priest or judge acting in this appointed jurisdiction is subject to Israel’s severe covenant penalty.</w:t>
      </w:r>
    </w:p>
    <w:p>
      <w:pPr/>
      <w:r>
        <w:rPr>
          <w:i w:val="0"/>
        </w:rPr>
        <w:t>This belongs to the theocratic constitutional order. Mansfield’s later ecclesial parallels are applications, not a transfer of capital jurisdiction.</w:t>
      </w:r>
    </w:p>
    <w:p>
      <w:pPr>
        <w:pStyle w:val="Heading1"/>
      </w:pPr>
      <w:r>
        <w:t>THE FUTURE KING — DEUTERONOMY 17:14–17</w:t>
      </w:r>
    </w:p>
    <w:p>
      <w:pPr>
        <w:pStyle w:val="Heading2"/>
      </w:pPr>
      <w:r>
        <w:t>Deuteronomy 17:14 — Israel foreseen asking for a king</w:t>
      </w:r>
    </w:p>
    <w:p>
      <w:pPr/>
      <w:r>
        <w:rPr>
          <w:i w:val="0"/>
        </w:rPr>
        <w:t>Moses anticipates Israel saying, “I will set a king over me, like as all the nations that are about me.”</w:t>
      </w:r>
    </w:p>
    <w:p>
      <w:pPr/>
      <w:r>
        <w:rPr>
          <w:i w:val="0"/>
        </w:rPr>
        <w:t>The verse anticipates monarchy, while 1 Samuel 8 later exposes the wrong motives and distrust involved in Israel’s particular demand. Deuteronomy does not endorse imitation of Gentile kingship as an ideal.</w:t>
      </w:r>
    </w:p>
    <w:p>
      <w:pPr>
        <w:pStyle w:val="Heading2"/>
      </w:pPr>
      <w:r>
        <w:t>Deuteronomy 17:15 — Yahweh chooses; an Israelite brother</w:t>
      </w:r>
    </w:p>
    <w:p>
      <w:pPr/>
      <w:r>
        <w:rPr>
          <w:i w:val="0"/>
        </w:rPr>
        <w:t>The king must be one Yahweh chooses and must come from among Israel’s brethren, not a foreigner.</w:t>
      </w:r>
    </w:p>
    <w:p>
      <w:pPr/>
      <w:r>
        <w:rPr>
          <w:i w:val="0"/>
        </w:rPr>
        <w:t>Royal authority is therefore derivative, not autonomous.</w:t>
      </w:r>
    </w:p>
    <w:p>
      <w:pPr>
        <w:pStyle w:val="Heading2"/>
      </w:pPr>
      <w:r>
        <w:t>Deuteronomy 17:16 — horses and Egypt</w:t>
      </w:r>
    </w:p>
    <w:p>
      <w:pPr/>
      <w:r>
        <w:rPr>
          <w:i w:val="0"/>
        </w:rPr>
        <w:t>The king must not multiply horses or send the people back toward Egypt to obtain them.</w:t>
      </w:r>
    </w:p>
    <w:p>
      <w:pPr/>
      <w:r>
        <w:rPr>
          <w:i w:val="0"/>
        </w:rPr>
        <w:t>The concern includes military self-reliance and renewed dependence upon the land from which Yahweh redeemed Israel. It does not prohibit every legitimate use of a horse.</w:t>
      </w:r>
    </w:p>
    <w:p>
      <w:pPr>
        <w:pStyle w:val="Heading2"/>
      </w:pPr>
      <w:r>
        <w:t>Deuteronomy 17:17 — wives and wealth</w:t>
      </w:r>
    </w:p>
    <w:p>
      <w:pPr/>
      <w:r>
        <w:rPr>
          <w:i w:val="0"/>
        </w:rPr>
        <w:t>The king must not multiply wives lest his heart turn away, nor greatly multiply silver and gold.</w:t>
      </w:r>
    </w:p>
    <w:p>
      <w:pPr/>
      <w:r>
        <w:rPr>
          <w:i w:val="0"/>
        </w:rPr>
        <w:t>Solomon later becomes the conspicuous narrative warning: 1 Kings 10–11 records multiplied horses, wealth and wives, with wives turning his heart after other gods.</w:t>
      </w:r>
    </w:p>
    <w:p>
      <w:pPr>
        <w:pStyle w:val="Heading1"/>
      </w:pPr>
      <w:r>
        <w:t>THE KING SUBJECT TO THE LAW — DEUTERONOMY 17:18–20</w:t>
      </w:r>
    </w:p>
    <w:p>
      <w:pPr>
        <w:pStyle w:val="Heading2"/>
      </w:pPr>
      <w:r>
        <w:t>Deuteronomy 17:18 — `mishneh hattorah`</w:t>
      </w:r>
    </w:p>
    <w:p>
      <w:pPr/>
      <w:r>
        <w:rPr>
          <w:i w:val="0"/>
        </w:rPr>
        <w:t>On taking the throne, the king must write for himself `mishneh hattorah hazzo’t` from the text held before the Levitical priests.</w:t>
      </w:r>
    </w:p>
    <w:p>
      <w:pPr/>
      <w:r>
        <w:rPr>
          <w:i w:val="0"/>
        </w:rPr>
        <w:t>The phrase means a copy/repetition of this law. The Septuagint’s rendering contributed to the later title “Deuteronomy,” but the Hebrew does not mean that the king writes a different “second law.”</w:t>
      </w:r>
    </w:p>
    <w:p>
      <w:pPr>
        <w:pStyle w:val="Heading2"/>
      </w:pPr>
      <w:r>
        <w:t>Deuteronomy 17:19 — read all the days of his life</w:t>
      </w:r>
    </w:p>
    <w:p>
      <w:pPr/>
      <w:r>
        <w:rPr>
          <w:i w:val="0"/>
        </w:rPr>
        <w:t>The copy remains with the king and is read continually so that he learns to fear Yahweh and carefully keep the law.</w:t>
      </w:r>
    </w:p>
    <w:p>
      <w:pPr>
        <w:pStyle w:val="Heading2"/>
      </w:pPr>
      <w:r>
        <w:t>Deuteronomy 17:20 — royal humility</w:t>
      </w:r>
    </w:p>
    <w:p>
      <w:pPr/>
      <w:r>
        <w:rPr>
          <w:i w:val="0"/>
        </w:rPr>
        <w:t>The purpose includes preventing his heart from being lifted above his brethren and preventing deviation right or left.</w:t>
      </w:r>
    </w:p>
    <w:p>
      <w:pPr/>
      <w:r>
        <w:rPr>
          <w:i w:val="0"/>
        </w:rPr>
        <w:t>Israel’s king remains a brother under the King of heaven. Office increases, rather than removes, accountability to the word.</w:t>
      </w:r>
    </w:p>
    <w:p>
      <w:pPr>
        <w:pStyle w:val="Heading1"/>
      </w:pPr>
      <w:r>
        <w:t>PRINCIPAL THEMES</w:t>
      </w:r>
    </w:p>
    <w:p>
      <w:pPr>
        <w:ind w:left="259" w:hanging="202"/>
      </w:pPr>
      <w:r>
        <w:rPr>
          <w:b/>
        </w:rPr>
        <w:t xml:space="preserve">• </w:t>
      </w:r>
      <w:r>
        <w:t>Defective sacrifices are prohibited; detailed moral symbolism of each defect is secondary typology.</w:t>
      </w:r>
    </w:p>
    <w:p>
      <w:pPr>
        <w:ind w:left="259" w:hanging="202"/>
      </w:pPr>
      <w:r>
        <w:rPr>
          <w:b/>
        </w:rPr>
        <w:t xml:space="preserve">• </w:t>
      </w:r>
      <w:r>
        <w:t>Capital accusation requires diligent investigation and corroborating witnesses.</w:t>
      </w:r>
    </w:p>
    <w:p>
      <w:pPr>
        <w:ind w:left="259" w:hanging="202"/>
      </w:pPr>
      <w:r>
        <w:rPr>
          <w:b/>
        </w:rPr>
        <w:t xml:space="preserve">• </w:t>
      </w:r>
      <w:r>
        <w:t>The witnesses’ first-hand role belongs to judicial process, not private vengeance.</w:t>
      </w:r>
    </w:p>
    <w:p>
      <w:pPr>
        <w:ind w:left="259" w:hanging="202"/>
      </w:pPr>
      <w:r>
        <w:rPr>
          <w:b/>
        </w:rPr>
        <w:t xml:space="preserve">• </w:t>
      </w:r>
      <w:r>
        <w:t>The central tribunal is authoritative as an interpreter and administrator of Yahweh’s law.</w:t>
      </w:r>
    </w:p>
    <w:p>
      <w:pPr>
        <w:ind w:left="259" w:hanging="202"/>
      </w:pPr>
      <w:r>
        <w:rPr>
          <w:b/>
        </w:rPr>
        <w:t xml:space="preserve">• </w:t>
      </w:r>
      <w:r>
        <w:t>The monarchy is anticipated but not permitted to imitate Gentile autonomy.</w:t>
      </w:r>
    </w:p>
    <w:p>
      <w:pPr>
        <w:ind w:left="259" w:hanging="202"/>
      </w:pPr>
      <w:r>
        <w:rPr>
          <w:b/>
        </w:rPr>
        <w:t xml:space="preserve">• </w:t>
      </w:r>
      <w:r>
        <w:t>Horses, wives and great wealth are specifically restricted as dangers to royal covenant faithfulness.</w:t>
      </w:r>
    </w:p>
    <w:p>
      <w:pPr>
        <w:ind w:left="259" w:hanging="202"/>
      </w:pPr>
      <w:r>
        <w:rPr>
          <w:b/>
        </w:rPr>
        <w:t xml:space="preserve">• </w:t>
      </w:r>
      <w:r>
        <w:t>Solomon’s later history dramatically illustrates all three royal warnings.</w:t>
      </w:r>
    </w:p>
    <w:p>
      <w:pPr>
        <w:ind w:left="259" w:hanging="202"/>
      </w:pPr>
      <w:r>
        <w:rPr>
          <w:b/>
        </w:rPr>
        <w:t xml:space="preserve">• </w:t>
      </w:r>
      <w:r>
        <w:t>`Mishneh hattorah` means a copy/repetition of the law, not an independent second law.</w:t>
      </w:r>
    </w:p>
    <w:p>
      <w:pPr>
        <w:ind w:left="259" w:hanging="202"/>
      </w:pPr>
      <w:r>
        <w:rPr>
          <w:b/>
        </w:rPr>
        <w:t xml:space="preserve">• </w:t>
      </w:r>
      <w:r>
        <w:t>The king must read continually so that power does not raise his heart above his brethren.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17:1</w:t>
            </w:r>
          </w:p>
        </w:tc>
        <w:tc>
          <w:tcPr>
            <w:tcW w:type="dxa" w:w="3561"/>
            <w:vAlign w:val="top"/>
          </w:tcPr>
          <w:p>
            <w:pPr>
              <w:spacing w:after="0" w:line="223" w:lineRule="auto"/>
            </w:pPr>
            <w:r>
              <w:rPr>
                <w:rFonts w:ascii="Times New Roman" w:hAnsi="Times New Roman"/>
                <w:sz w:val="13"/>
              </w:rPr>
              <w:t>dabar ra‘</w:t>
            </w:r>
          </w:p>
        </w:tc>
        <w:tc>
          <w:tcPr>
            <w:tcW w:type="dxa" w:w="3561"/>
            <w:vAlign w:val="top"/>
          </w:tcPr>
          <w:p>
            <w:pPr>
              <w:spacing w:after="0" w:line="223" w:lineRule="auto"/>
            </w:pPr>
            <w:r>
              <w:rPr>
                <w:rFonts w:ascii="Times New Roman" w:hAnsi="Times New Roman"/>
                <w:sz w:val="13"/>
              </w:rPr>
              <w:t>Bad/evil defect or matter; avoid over-specific moral allegory.</w:t>
            </w:r>
          </w:p>
        </w:tc>
      </w:tr>
      <w:tr>
        <w:tc>
          <w:tcPr>
            <w:tcW w:type="dxa" w:w="3561"/>
            <w:vAlign w:val="top"/>
          </w:tcPr>
          <w:p>
            <w:pPr>
              <w:spacing w:after="0" w:line="223" w:lineRule="auto"/>
            </w:pPr>
            <w:r>
              <w:rPr>
                <w:rFonts w:ascii="Times New Roman" w:hAnsi="Times New Roman"/>
                <w:sz w:val="13"/>
              </w:rPr>
              <w:t>Deut. 17:4</w:t>
            </w:r>
          </w:p>
        </w:tc>
        <w:tc>
          <w:tcPr>
            <w:tcW w:type="dxa" w:w="3561"/>
            <w:vAlign w:val="top"/>
          </w:tcPr>
          <w:p>
            <w:pPr>
              <w:spacing w:after="0" w:line="223" w:lineRule="auto"/>
            </w:pPr>
            <w:r>
              <w:rPr>
                <w:rFonts w:ascii="Times New Roman" w:hAnsi="Times New Roman"/>
                <w:sz w:val="13"/>
              </w:rPr>
              <w:t>diligent inquiry</w:t>
            </w:r>
          </w:p>
        </w:tc>
        <w:tc>
          <w:tcPr>
            <w:tcW w:type="dxa" w:w="3561"/>
            <w:vAlign w:val="top"/>
          </w:tcPr>
          <w:p>
            <w:pPr>
              <w:spacing w:after="0" w:line="223" w:lineRule="auto"/>
            </w:pPr>
            <w:r>
              <w:rPr>
                <w:rFonts w:ascii="Times New Roman" w:hAnsi="Times New Roman"/>
                <w:sz w:val="13"/>
              </w:rPr>
              <w:t>Report must be established true/certain.</w:t>
            </w:r>
          </w:p>
        </w:tc>
      </w:tr>
      <w:tr>
        <w:tc>
          <w:tcPr>
            <w:tcW w:type="dxa" w:w="3561"/>
            <w:vAlign w:val="top"/>
          </w:tcPr>
          <w:p>
            <w:pPr>
              <w:spacing w:after="0" w:line="223" w:lineRule="auto"/>
            </w:pPr>
            <w:r>
              <w:rPr>
                <w:rFonts w:ascii="Times New Roman" w:hAnsi="Times New Roman"/>
                <w:sz w:val="13"/>
              </w:rPr>
              <w:t>Deut. 17:6</w:t>
            </w:r>
          </w:p>
        </w:tc>
        <w:tc>
          <w:tcPr>
            <w:tcW w:type="dxa" w:w="3561"/>
            <w:vAlign w:val="top"/>
          </w:tcPr>
          <w:p>
            <w:pPr>
              <w:spacing w:after="0" w:line="223" w:lineRule="auto"/>
            </w:pPr>
            <w:r>
              <w:rPr>
                <w:rFonts w:ascii="Times New Roman" w:hAnsi="Times New Roman"/>
                <w:sz w:val="13"/>
              </w:rPr>
              <w:t>2 or 3 witnesses</w:t>
            </w:r>
          </w:p>
        </w:tc>
        <w:tc>
          <w:tcPr>
            <w:tcW w:type="dxa" w:w="3561"/>
            <w:vAlign w:val="top"/>
          </w:tcPr>
          <w:p>
            <w:pPr>
              <w:spacing w:after="0" w:line="223" w:lineRule="auto"/>
            </w:pPr>
            <w:r>
              <w:rPr>
                <w:rFonts w:ascii="Times New Roman" w:hAnsi="Times New Roman"/>
                <w:sz w:val="13"/>
              </w:rPr>
              <w:t>One witness insufficient for death penalty.</w:t>
            </w:r>
          </w:p>
        </w:tc>
      </w:tr>
      <w:tr>
        <w:tc>
          <w:tcPr>
            <w:tcW w:type="dxa" w:w="3561"/>
            <w:vAlign w:val="top"/>
          </w:tcPr>
          <w:p>
            <w:pPr>
              <w:spacing w:after="0" w:line="223" w:lineRule="auto"/>
            </w:pPr>
            <w:r>
              <w:rPr>
                <w:rFonts w:ascii="Times New Roman" w:hAnsi="Times New Roman"/>
                <w:sz w:val="13"/>
              </w:rPr>
              <w:t>Deut. 17:7</w:t>
            </w:r>
          </w:p>
        </w:tc>
        <w:tc>
          <w:tcPr>
            <w:tcW w:type="dxa" w:w="3561"/>
            <w:vAlign w:val="top"/>
          </w:tcPr>
          <w:p>
            <w:pPr>
              <w:spacing w:after="0" w:line="223" w:lineRule="auto"/>
            </w:pPr>
            <w:r>
              <w:rPr>
                <w:rFonts w:ascii="Times New Roman" w:hAnsi="Times New Roman"/>
                <w:sz w:val="13"/>
              </w:rPr>
              <w:t>witnesses first</w:t>
            </w:r>
          </w:p>
        </w:tc>
        <w:tc>
          <w:tcPr>
            <w:tcW w:type="dxa" w:w="3561"/>
            <w:vAlign w:val="top"/>
          </w:tcPr>
          <w:p>
            <w:pPr>
              <w:spacing w:after="0" w:line="223" w:lineRule="auto"/>
            </w:pPr>
            <w:r>
              <w:rPr>
                <w:rFonts w:ascii="Times New Roman" w:hAnsi="Times New Roman"/>
                <w:sz w:val="13"/>
              </w:rPr>
              <w:t>Formal judicial responsibility.</w:t>
            </w:r>
          </w:p>
        </w:tc>
      </w:tr>
      <w:tr>
        <w:tc>
          <w:tcPr>
            <w:tcW w:type="dxa" w:w="3561"/>
            <w:vAlign w:val="top"/>
          </w:tcPr>
          <w:p>
            <w:pPr>
              <w:spacing w:after="0" w:line="223" w:lineRule="auto"/>
            </w:pPr>
            <w:r>
              <w:rPr>
                <w:rFonts w:ascii="Times New Roman" w:hAnsi="Times New Roman"/>
                <w:sz w:val="13"/>
              </w:rPr>
              <w:t>Deut. 17:8–11</w:t>
            </w:r>
          </w:p>
        </w:tc>
        <w:tc>
          <w:tcPr>
            <w:tcW w:type="dxa" w:w="3561"/>
            <w:vAlign w:val="top"/>
          </w:tcPr>
          <w:p>
            <w:pPr>
              <w:spacing w:after="0" w:line="223" w:lineRule="auto"/>
            </w:pPr>
            <w:r>
              <w:rPr>
                <w:rFonts w:ascii="Times New Roman" w:hAnsi="Times New Roman"/>
                <w:sz w:val="13"/>
              </w:rPr>
              <w:t>central tribunal</w:t>
            </w:r>
          </w:p>
        </w:tc>
        <w:tc>
          <w:tcPr>
            <w:tcW w:type="dxa" w:w="3561"/>
            <w:vAlign w:val="top"/>
          </w:tcPr>
          <w:p>
            <w:pPr>
              <w:spacing w:after="0" w:line="223" w:lineRule="auto"/>
            </w:pPr>
            <w:r>
              <w:rPr>
                <w:rFonts w:ascii="Times New Roman" w:hAnsi="Times New Roman"/>
                <w:sz w:val="13"/>
              </w:rPr>
              <w:t>Priests + judge apply Torah in difficult cases.</w:t>
            </w:r>
          </w:p>
        </w:tc>
      </w:tr>
      <w:tr>
        <w:tc>
          <w:tcPr>
            <w:tcW w:type="dxa" w:w="3561"/>
            <w:vAlign w:val="top"/>
          </w:tcPr>
          <w:p>
            <w:pPr>
              <w:spacing w:after="0" w:line="223" w:lineRule="auto"/>
            </w:pPr>
            <w:r>
              <w:rPr>
                <w:rFonts w:ascii="Times New Roman" w:hAnsi="Times New Roman"/>
                <w:sz w:val="13"/>
              </w:rPr>
              <w:t>Deut. 17:12</w:t>
            </w:r>
          </w:p>
        </w:tc>
        <w:tc>
          <w:tcPr>
            <w:tcW w:type="dxa" w:w="3561"/>
            <w:vAlign w:val="top"/>
          </w:tcPr>
          <w:p>
            <w:pPr>
              <w:spacing w:after="0" w:line="223" w:lineRule="auto"/>
            </w:pPr>
            <w:r>
              <w:rPr>
                <w:rFonts w:ascii="Times New Roman" w:hAnsi="Times New Roman"/>
                <w:sz w:val="13"/>
              </w:rPr>
              <w:t>presumptuous refusal</w:t>
            </w:r>
          </w:p>
        </w:tc>
        <w:tc>
          <w:tcPr>
            <w:tcW w:type="dxa" w:w="3561"/>
            <w:vAlign w:val="top"/>
          </w:tcPr>
          <w:p>
            <w:pPr>
              <w:spacing w:after="0" w:line="223" w:lineRule="auto"/>
            </w:pPr>
            <w:r>
              <w:rPr>
                <w:rFonts w:ascii="Times New Roman" w:hAnsi="Times New Roman"/>
                <w:sz w:val="13"/>
              </w:rPr>
              <w:t>Theocratic sanction; not Christian civil jurisdiction.</w:t>
            </w:r>
          </w:p>
        </w:tc>
      </w:tr>
      <w:tr>
        <w:tc>
          <w:tcPr>
            <w:tcW w:type="dxa" w:w="3561"/>
            <w:vAlign w:val="top"/>
          </w:tcPr>
          <w:p>
            <w:pPr>
              <w:spacing w:after="0" w:line="223" w:lineRule="auto"/>
            </w:pPr>
            <w:r>
              <w:rPr>
                <w:rFonts w:ascii="Times New Roman" w:hAnsi="Times New Roman"/>
                <w:sz w:val="13"/>
              </w:rPr>
              <w:t>Deut. 17:14</w:t>
            </w:r>
          </w:p>
        </w:tc>
        <w:tc>
          <w:tcPr>
            <w:tcW w:type="dxa" w:w="3561"/>
            <w:vAlign w:val="top"/>
          </w:tcPr>
          <w:p>
            <w:pPr>
              <w:spacing w:after="0" w:line="223" w:lineRule="auto"/>
            </w:pPr>
            <w:r>
              <w:rPr>
                <w:rFonts w:ascii="Times New Roman" w:hAnsi="Times New Roman"/>
                <w:sz w:val="13"/>
              </w:rPr>
              <w:t>king like nations</w:t>
            </w:r>
          </w:p>
        </w:tc>
        <w:tc>
          <w:tcPr>
            <w:tcW w:type="dxa" w:w="3561"/>
            <w:vAlign w:val="top"/>
          </w:tcPr>
          <w:p>
            <w:pPr>
              <w:spacing w:after="0" w:line="223" w:lineRule="auto"/>
            </w:pPr>
            <w:r>
              <w:rPr>
                <w:rFonts w:ascii="Times New Roman" w:hAnsi="Times New Roman"/>
                <w:sz w:val="13"/>
              </w:rPr>
              <w:t>Anticipated request; compare 1 Sam. 8 critique.</w:t>
            </w:r>
          </w:p>
        </w:tc>
      </w:tr>
      <w:tr>
        <w:tc>
          <w:tcPr>
            <w:tcW w:type="dxa" w:w="3561"/>
            <w:vAlign w:val="top"/>
          </w:tcPr>
          <w:p>
            <w:pPr>
              <w:spacing w:after="0" w:line="223" w:lineRule="auto"/>
            </w:pPr>
            <w:r>
              <w:rPr>
                <w:rFonts w:ascii="Times New Roman" w:hAnsi="Times New Roman"/>
                <w:sz w:val="13"/>
              </w:rPr>
              <w:t>Deut. 17:15</w:t>
            </w:r>
          </w:p>
        </w:tc>
        <w:tc>
          <w:tcPr>
            <w:tcW w:type="dxa" w:w="3561"/>
            <w:vAlign w:val="top"/>
          </w:tcPr>
          <w:p>
            <w:pPr>
              <w:spacing w:after="0" w:line="223" w:lineRule="auto"/>
            </w:pPr>
            <w:r>
              <w:rPr>
                <w:rFonts w:ascii="Times New Roman" w:hAnsi="Times New Roman"/>
                <w:sz w:val="13"/>
              </w:rPr>
              <w:t>Yahweh chooses king</w:t>
            </w:r>
          </w:p>
        </w:tc>
        <w:tc>
          <w:tcPr>
            <w:tcW w:type="dxa" w:w="3561"/>
            <w:vAlign w:val="top"/>
          </w:tcPr>
          <w:p>
            <w:pPr>
              <w:spacing w:after="0" w:line="223" w:lineRule="auto"/>
            </w:pPr>
            <w:r>
              <w:rPr>
                <w:rFonts w:ascii="Times New Roman" w:hAnsi="Times New Roman"/>
                <w:sz w:val="13"/>
              </w:rPr>
              <w:t>Israelite brother required.</w:t>
            </w:r>
          </w:p>
        </w:tc>
      </w:tr>
      <w:tr>
        <w:tc>
          <w:tcPr>
            <w:tcW w:type="dxa" w:w="3561"/>
            <w:vAlign w:val="top"/>
          </w:tcPr>
          <w:p>
            <w:pPr>
              <w:spacing w:after="0" w:line="223" w:lineRule="auto"/>
            </w:pPr>
            <w:r>
              <w:rPr>
                <w:rFonts w:ascii="Times New Roman" w:hAnsi="Times New Roman"/>
                <w:sz w:val="13"/>
              </w:rPr>
              <w:t>Deut. 17:16</w:t>
            </w:r>
          </w:p>
        </w:tc>
        <w:tc>
          <w:tcPr>
            <w:tcW w:type="dxa" w:w="3561"/>
            <w:vAlign w:val="top"/>
          </w:tcPr>
          <w:p>
            <w:pPr>
              <w:spacing w:after="0" w:line="223" w:lineRule="auto"/>
            </w:pPr>
            <w:r>
              <w:rPr>
                <w:rFonts w:ascii="Times New Roman" w:hAnsi="Times New Roman"/>
                <w:sz w:val="13"/>
              </w:rPr>
              <w:t>horses / Egypt</w:t>
            </w:r>
          </w:p>
        </w:tc>
        <w:tc>
          <w:tcPr>
            <w:tcW w:type="dxa" w:w="3561"/>
            <w:vAlign w:val="top"/>
          </w:tcPr>
          <w:p>
            <w:pPr>
              <w:spacing w:after="0" w:line="223" w:lineRule="auto"/>
            </w:pPr>
            <w:r>
              <w:rPr>
                <w:rFonts w:ascii="Times New Roman" w:hAnsi="Times New Roman"/>
                <w:sz w:val="13"/>
              </w:rPr>
              <w:t>No multiplied military dependence.</w:t>
            </w:r>
          </w:p>
        </w:tc>
      </w:tr>
      <w:tr>
        <w:tc>
          <w:tcPr>
            <w:tcW w:type="dxa" w:w="3561"/>
            <w:vAlign w:val="top"/>
          </w:tcPr>
          <w:p>
            <w:pPr>
              <w:spacing w:after="0" w:line="223" w:lineRule="auto"/>
            </w:pPr>
            <w:r>
              <w:rPr>
                <w:rFonts w:ascii="Times New Roman" w:hAnsi="Times New Roman"/>
                <w:sz w:val="13"/>
              </w:rPr>
              <w:t>Deut. 17:17</w:t>
            </w:r>
          </w:p>
        </w:tc>
        <w:tc>
          <w:tcPr>
            <w:tcW w:type="dxa" w:w="3561"/>
            <w:vAlign w:val="top"/>
          </w:tcPr>
          <w:p>
            <w:pPr>
              <w:spacing w:after="0" w:line="223" w:lineRule="auto"/>
            </w:pPr>
            <w:r>
              <w:rPr>
                <w:rFonts w:ascii="Times New Roman" w:hAnsi="Times New Roman"/>
                <w:sz w:val="13"/>
              </w:rPr>
              <w:t>wives / silver / gold</w:t>
            </w:r>
          </w:p>
        </w:tc>
        <w:tc>
          <w:tcPr>
            <w:tcW w:type="dxa" w:w="3561"/>
            <w:vAlign w:val="top"/>
          </w:tcPr>
          <w:p>
            <w:pPr>
              <w:spacing w:after="0" w:line="223" w:lineRule="auto"/>
            </w:pPr>
            <w:r>
              <w:rPr>
                <w:rFonts w:ascii="Times New Roman" w:hAnsi="Times New Roman"/>
                <w:sz w:val="13"/>
              </w:rPr>
              <w:t>Royal accumulation restricted.</w:t>
            </w:r>
          </w:p>
        </w:tc>
      </w:tr>
      <w:tr>
        <w:tc>
          <w:tcPr>
            <w:tcW w:type="dxa" w:w="3561"/>
            <w:vAlign w:val="top"/>
          </w:tcPr>
          <w:p>
            <w:pPr>
              <w:spacing w:after="0" w:line="223" w:lineRule="auto"/>
            </w:pPr>
            <w:r>
              <w:rPr>
                <w:rFonts w:ascii="Times New Roman" w:hAnsi="Times New Roman"/>
                <w:sz w:val="13"/>
              </w:rPr>
              <w:t>1 Kings 10–11</w:t>
            </w:r>
          </w:p>
        </w:tc>
        <w:tc>
          <w:tcPr>
            <w:tcW w:type="dxa" w:w="3561"/>
            <w:vAlign w:val="top"/>
          </w:tcPr>
          <w:p>
            <w:pPr>
              <w:spacing w:after="0" w:line="223" w:lineRule="auto"/>
            </w:pPr>
            <w:r>
              <w:rPr>
                <w:rFonts w:ascii="Times New Roman" w:hAnsi="Times New Roman"/>
                <w:sz w:val="13"/>
              </w:rPr>
              <w:t>Solomon</w:t>
            </w:r>
          </w:p>
        </w:tc>
        <w:tc>
          <w:tcPr>
            <w:tcW w:type="dxa" w:w="3561"/>
            <w:vAlign w:val="top"/>
          </w:tcPr>
          <w:p>
            <w:pPr>
              <w:spacing w:after="0" w:line="223" w:lineRule="auto"/>
            </w:pPr>
            <w:r>
              <w:rPr>
                <w:rFonts w:ascii="Times New Roman" w:hAnsi="Times New Roman"/>
                <w:sz w:val="13"/>
              </w:rPr>
              <w:t>Later violation of horse/wealth/wife safeguards.</w:t>
            </w:r>
          </w:p>
        </w:tc>
      </w:tr>
      <w:tr>
        <w:tc>
          <w:tcPr>
            <w:tcW w:type="dxa" w:w="3561"/>
            <w:vAlign w:val="top"/>
          </w:tcPr>
          <w:p>
            <w:pPr>
              <w:spacing w:after="0" w:line="223" w:lineRule="auto"/>
            </w:pPr>
            <w:r>
              <w:rPr>
                <w:rFonts w:ascii="Times New Roman" w:hAnsi="Times New Roman"/>
                <w:sz w:val="13"/>
              </w:rPr>
              <w:t>Deut. 17:18</w:t>
            </w:r>
          </w:p>
        </w:tc>
        <w:tc>
          <w:tcPr>
            <w:tcW w:type="dxa" w:w="3561"/>
            <w:vAlign w:val="top"/>
          </w:tcPr>
          <w:p>
            <w:pPr>
              <w:spacing w:after="0" w:line="223" w:lineRule="auto"/>
            </w:pPr>
            <w:r>
              <w:rPr>
                <w:rFonts w:ascii="Times New Roman" w:hAnsi="Times New Roman"/>
                <w:sz w:val="13"/>
              </w:rPr>
              <w:t>mishneh hattorah</w:t>
            </w:r>
          </w:p>
        </w:tc>
        <w:tc>
          <w:tcPr>
            <w:tcW w:type="dxa" w:w="3561"/>
            <w:vAlign w:val="top"/>
          </w:tcPr>
          <w:p>
            <w:pPr>
              <w:spacing w:after="0" w:line="223" w:lineRule="auto"/>
            </w:pPr>
            <w:r>
              <w:rPr>
                <w:rFonts w:ascii="Times New Roman" w:hAnsi="Times New Roman"/>
                <w:sz w:val="13"/>
              </w:rPr>
              <w:t>Copy/repetition of this law.</w:t>
            </w:r>
          </w:p>
        </w:tc>
      </w:tr>
      <w:tr>
        <w:tc>
          <w:tcPr>
            <w:tcW w:type="dxa" w:w="3561"/>
            <w:vAlign w:val="top"/>
          </w:tcPr>
          <w:p>
            <w:pPr>
              <w:spacing w:after="0" w:line="223" w:lineRule="auto"/>
            </w:pPr>
            <w:r>
              <w:rPr>
                <w:rFonts w:ascii="Times New Roman" w:hAnsi="Times New Roman"/>
                <w:sz w:val="13"/>
              </w:rPr>
              <w:t>Deut. 17:19</w:t>
            </w:r>
          </w:p>
        </w:tc>
        <w:tc>
          <w:tcPr>
            <w:tcW w:type="dxa" w:w="3561"/>
            <w:vAlign w:val="top"/>
          </w:tcPr>
          <w:p>
            <w:pPr>
              <w:spacing w:after="0" w:line="223" w:lineRule="auto"/>
            </w:pPr>
            <w:r>
              <w:rPr>
                <w:rFonts w:ascii="Times New Roman" w:hAnsi="Times New Roman"/>
                <w:sz w:val="13"/>
              </w:rPr>
              <w:t>read lifelong</w:t>
            </w:r>
          </w:p>
        </w:tc>
        <w:tc>
          <w:tcPr>
            <w:tcW w:type="dxa" w:w="3561"/>
            <w:vAlign w:val="top"/>
          </w:tcPr>
          <w:p>
            <w:pPr>
              <w:spacing w:after="0" w:line="223" w:lineRule="auto"/>
            </w:pPr>
            <w:r>
              <w:rPr>
                <w:rFonts w:ascii="Times New Roman" w:hAnsi="Times New Roman"/>
                <w:sz w:val="13"/>
              </w:rPr>
              <w:t>Fear and obedience cultivated.</w:t>
            </w:r>
          </w:p>
        </w:tc>
      </w:tr>
      <w:tr>
        <w:tc>
          <w:tcPr>
            <w:tcW w:type="dxa" w:w="3561"/>
            <w:vAlign w:val="top"/>
          </w:tcPr>
          <w:p>
            <w:pPr>
              <w:spacing w:after="0" w:line="223" w:lineRule="auto"/>
            </w:pPr>
            <w:r>
              <w:rPr>
                <w:rFonts w:ascii="Times New Roman" w:hAnsi="Times New Roman"/>
                <w:sz w:val="13"/>
              </w:rPr>
              <w:t>Deut. 17:20</w:t>
            </w:r>
          </w:p>
        </w:tc>
        <w:tc>
          <w:tcPr>
            <w:tcW w:type="dxa" w:w="3561"/>
            <w:vAlign w:val="top"/>
          </w:tcPr>
          <w:p>
            <w:pPr>
              <w:spacing w:after="0" w:line="223" w:lineRule="auto"/>
            </w:pPr>
            <w:r>
              <w:rPr>
                <w:rFonts w:ascii="Times New Roman" w:hAnsi="Times New Roman"/>
                <w:sz w:val="13"/>
              </w:rPr>
              <w:t>heart not lifted</w:t>
            </w:r>
          </w:p>
        </w:tc>
        <w:tc>
          <w:tcPr>
            <w:tcW w:type="dxa" w:w="3561"/>
            <w:vAlign w:val="top"/>
          </w:tcPr>
          <w:p>
            <w:pPr>
              <w:spacing w:after="0" w:line="223" w:lineRule="auto"/>
            </w:pPr>
            <w:r>
              <w:rPr>
                <w:rFonts w:ascii="Times New Roman" w:hAnsi="Times New Roman"/>
                <w:sz w:val="13"/>
              </w:rPr>
              <w:t>King remains brother under law.</w:t>
            </w:r>
          </w:p>
        </w:tc>
      </w:tr>
    </w:tbl>
    <w:p>
      <w:pPr>
        <w:pStyle w:val="Heading1"/>
      </w:pPr>
      <w:r>
        <w:t>RESIDUAL UNCERTAINTIES</w:t>
      </w:r>
    </w:p>
    <w:p>
      <w:pPr/>
      <w:r>
        <w:rPr>
          <w:i w:val="0"/>
        </w:rPr>
        <w:t>The precise composition of the supreme tribunal at every later period and the extent of the written Torah copy intended in verse 18 are discussed by interpreters. Mansfield’s typological applications are retained where helpful, while the Hebrew `mishneh` is corrected away from the idea of a separate second law.</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