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18</w:t>
      </w:r>
    </w:p>
    <w:p>
      <w:pPr>
        <w:pStyle w:val="Subtitle"/>
      </w:pPr>
      <w:r>
        <w:t>LEVITICAL SUPPORT • SERVICE AT THE CHOSEN PLACE • REJECT DIVINATION AND NECROMANCY • BE WHOLEHEARTED WITH YAHWEH • THE PROPHET LIKE MOSES • YAHWEH’S WORD IN HIS MOUTH • TEST FALSE PROPHECY</w:t>
      </w:r>
    </w:p>
    <w:p>
      <w:pPr/>
      <w:r>
        <w:rPr>
          <w:i/>
        </w:rPr>
        <w:t>H. P. Mansfield Bible notes — checked and arranged in verse-by-verse Expositor style</w:t>
      </w:r>
    </w:p>
    <w:p>
      <w:pPr/>
      <w:r>
        <w:rPr>
          <w:i w:val="0"/>
        </w:rPr>
        <w:t>Source: HPB 04-Deu01-Jud04.PDF principally p. 30; cross-checked with Mansfield’s Deuteronomy Expositor Chapter 18.</w:t>
      </w:r>
    </w:p>
    <w:p>
      <w:pPr>
        <w:pStyle w:val="Heading1"/>
      </w:pPr>
      <w:r>
        <w:t>CHAPTER OVERVIEW</w:t>
      </w:r>
    </w:p>
    <w:p>
      <w:pPr/>
      <w:r>
        <w:rPr>
          <w:i w:val="0"/>
        </w:rPr>
        <w:t>Deuteronomy 18 contrasts two ways of seeking guidance. Israel must not imitate Canaanite attempts to obtain hidden knowledge through divination, sorcery, spirit consultation or the dead. Yahweh instead provides His own authorised word.</w:t>
      </w:r>
    </w:p>
    <w:p>
      <w:pPr/>
      <w:r>
        <w:rPr>
          <w:i w:val="0"/>
        </w:rPr>
        <w:t>The chapter’s climax is the promise of a Prophet like Moses. The New Testament explicitly applies this promise to Jesus Christ in Acts 3:22–23 and 7:37.</w:t>
      </w:r>
    </w:p>
    <w:p>
      <w:pPr>
        <w:pStyle w:val="Heading1"/>
      </w:pPr>
      <w:r>
        <w:t>THE LEVITICAL INHERITANCE — DEUTERONOMY 18:1–5</w:t>
      </w:r>
    </w:p>
    <w:p>
      <w:pPr>
        <w:pStyle w:val="Heading2"/>
      </w:pPr>
      <w:r>
        <w:t>Deuteronomy 18:1–2 — Yahweh is their inheritance</w:t>
      </w:r>
    </w:p>
    <w:p>
      <w:pPr/>
      <w:r>
        <w:rPr>
          <w:i w:val="0"/>
        </w:rPr>
        <w:t>The Levitical priests and tribe of Levi receive no ordinary territorial inheritance like the other tribes; their sustenance is tied to Yahweh’s offerings and appointed provision.</w:t>
      </w:r>
    </w:p>
    <w:p>
      <w:pPr/>
      <w:r>
        <w:rPr>
          <w:i w:val="0"/>
        </w:rPr>
        <w:t>The phrase “priests the Levites” does not erase the distinction that Aaron’s descendants are priests while the wider Levi tribe has other duties.</w:t>
      </w:r>
    </w:p>
    <w:p>
      <w:pPr>
        <w:pStyle w:val="Heading2"/>
      </w:pPr>
      <w:r>
        <w:t>Deuteronomy 18:3 — shoulder, cheeks and maw/stomach</w:t>
      </w:r>
    </w:p>
    <w:p>
      <w:pPr/>
      <w:r>
        <w:rPr>
          <w:i w:val="0"/>
        </w:rPr>
        <w:t>The priestly due from a slaughtered ox or sheep includes shoulder/foreleg, two cheeks and `qebah`, commonly stomach/maw.</w:t>
      </w:r>
    </w:p>
    <w:p>
      <w:pPr/>
      <w:r>
        <w:rPr>
          <w:i w:val="0"/>
        </w:rPr>
        <w:t>The exact relationship of this provision to sacrificial portions in Leviticus and Numbers is debated; many understand Deuteronomy here to concern the priestly due associated with ordinary slaughter or a settled-land provision. Mansfield’s detailed anatomy-as-spiritual-traits typology is expositional rather than lexical.</w:t>
      </w:r>
    </w:p>
    <w:p>
      <w:pPr>
        <w:pStyle w:val="Heading2"/>
      </w:pPr>
      <w:r>
        <w:t>Deuteronomy 18:4–5 — first produce and fleece</w:t>
      </w:r>
    </w:p>
    <w:p>
      <w:pPr/>
      <w:r>
        <w:rPr>
          <w:i w:val="0"/>
        </w:rPr>
        <w:t>First grain, wine, oil and fleece are given because Yahweh chose Levi to stand and minister in His Name.</w:t>
      </w:r>
    </w:p>
    <w:p>
      <w:pPr>
        <w:pStyle w:val="Heading1"/>
      </w:pPr>
      <w:r>
        <w:t>THE LEVITE WHO COMES TO MINISTER — DEUTERONOMY 18:6–8</w:t>
      </w:r>
    </w:p>
    <w:p>
      <w:pPr>
        <w:pStyle w:val="Heading2"/>
      </w:pPr>
      <w:r>
        <w:t>Deuteronomy 18:6–7 — voluntary sanctuary service</w:t>
      </w:r>
    </w:p>
    <w:p>
      <w:pPr/>
      <w:r>
        <w:rPr>
          <w:i w:val="0"/>
        </w:rPr>
        <w:t>A Levite coming from any Israelite town with full desire to the place Yahweh chooses may minister there like his brethren.</w:t>
      </w:r>
    </w:p>
    <w:p>
      <w:pPr>
        <w:pStyle w:val="Heading2"/>
      </w:pPr>
      <w:r>
        <w:t>Deuteronomy 18:8 — equal portions and patrimony</w:t>
      </w:r>
    </w:p>
    <w:p>
      <w:pPr/>
      <w:r>
        <w:rPr>
          <w:i w:val="0"/>
        </w:rPr>
        <w:t>He shares equally in the priestly/Levitical portions apart from proceeds connected with inherited family property.</w:t>
      </w:r>
    </w:p>
    <w:p>
      <w:pPr/>
      <w:r>
        <w:rPr>
          <w:i w:val="0"/>
        </w:rPr>
        <w:t>The difficult phrase translated “beside that which cometh of the sale of his patrimony” has several interpretations. It should not be made into a detailed property system beyond what the text securely says.</w:t>
      </w:r>
    </w:p>
    <w:p>
      <w:pPr>
        <w:pStyle w:val="Heading1"/>
      </w:pPr>
      <w:r>
        <w:t>CANAANITE OCCULT PRACTICES FORBIDDEN — DEUTERONOMY 18:9–14</w:t>
      </w:r>
    </w:p>
    <w:p>
      <w:pPr>
        <w:pStyle w:val="Heading2"/>
      </w:pPr>
      <w:r>
        <w:t>Deuteronomy 18:9 — do not learn the nations’ abominations</w:t>
      </w:r>
    </w:p>
    <w:p>
      <w:pPr/>
      <w:r>
        <w:rPr>
          <w:i w:val="0"/>
        </w:rPr>
        <w:t>Israel must not adopt Canaanite religious techniques for obtaining power or hidden knowledge.</w:t>
      </w:r>
    </w:p>
    <w:p>
      <w:pPr>
        <w:pStyle w:val="Heading2"/>
      </w:pPr>
      <w:r>
        <w:t>Deuteronomy 18:10–11 — a cluster of difficult technical terms</w:t>
      </w:r>
    </w:p>
    <w:p>
      <w:pPr/>
      <w:r>
        <w:rPr>
          <w:i w:val="0"/>
        </w:rPr>
        <w:t>The list includes child sacrifice/passing through fire, divination (`qesem`), omen/soothsaying practices, sorcery, spell-binding, consultation with an `’ob`, a `yidde‘oni`, and inquiry of the dead.</w:t>
      </w:r>
    </w:p>
    <w:p>
      <w:pPr/>
      <w:r>
        <w:rPr>
          <w:i w:val="0"/>
        </w:rPr>
        <w:t>Several Hebrew technical terms are difficult to identify precisely. Older English labels such as “observer of times,” “witch,” “familiar spirit” and “wizard” reflect traditional renderings rather than exact modern categories.</w:t>
      </w:r>
    </w:p>
    <w:p>
      <w:pPr>
        <w:pStyle w:val="Heading2"/>
      </w:pPr>
      <w:r>
        <w:t>Deuteronomy 18:11 — `’ob` and “familiar spirit”</w:t>
      </w:r>
    </w:p>
    <w:p>
      <w:pPr/>
      <w:r>
        <w:rPr>
          <w:i w:val="0"/>
        </w:rPr>
        <w:t>`’Ob` is associated with necromantic/spirit-medium practice and can denote the medium or supposed spirit. Ancient translations and Isaiah 8:19 associate such practitioners with chirping/muttering voices.</w:t>
      </w:r>
    </w:p>
    <w:p>
      <w:pPr/>
      <w:r>
        <w:rPr>
          <w:i w:val="0"/>
        </w:rPr>
        <w:t>Mansfield’s claim that the phenomenon was essentially ventriloquism from the belly is one rationalising reconstruction, not something the Hebrew text establishes.</w:t>
      </w:r>
    </w:p>
    <w:p>
      <w:pPr>
        <w:pStyle w:val="Heading2"/>
      </w:pPr>
      <w:r>
        <w:t>Deuteronomy 18:12 — reason for dispossession</w:t>
      </w:r>
    </w:p>
    <w:p>
      <w:pPr/>
      <w:r>
        <w:rPr>
          <w:i w:val="0"/>
        </w:rPr>
        <w:t>These practices are abominations to Yahweh and are named among the reasons the nations are being dispossessed.</w:t>
      </w:r>
    </w:p>
    <w:p>
      <w:pPr>
        <w:pStyle w:val="Heading2"/>
      </w:pPr>
      <w:r>
        <w:t>Deuteronomy 18:13–14 — `tamim` with Yahweh</w:t>
      </w:r>
    </w:p>
    <w:p>
      <w:pPr/>
      <w:r>
        <w:rPr>
          <w:i w:val="0"/>
        </w:rPr>
        <w:t>Israel must be `tamim` with Yahweh—whole, complete, blameless in covenant loyalty—rather than seeking forbidden sources.</w:t>
      </w:r>
    </w:p>
    <w:p>
      <w:pPr/>
      <w:r>
        <w:rPr>
          <w:i w:val="0"/>
        </w:rPr>
        <w:t>KJV “perfect” should not be read as a claim that ordinary Israelites could achieve absolute sinlessness.</w:t>
      </w:r>
    </w:p>
    <w:p>
      <w:pPr>
        <w:pStyle w:val="Heading1"/>
      </w:pPr>
      <w:r>
        <w:t>THE PROPHET LIKE MOSES — DEUTERONOMY 18:15–19</w:t>
      </w:r>
    </w:p>
    <w:p>
      <w:pPr>
        <w:pStyle w:val="Heading2"/>
      </w:pPr>
      <w:r>
        <w:t>Deuteronomy 18:15 — raised from among the brethren</w:t>
      </w:r>
    </w:p>
    <w:p>
      <w:pPr/>
      <w:r>
        <w:rPr>
          <w:i w:val="0"/>
        </w:rPr>
        <w:t>Yahweh will raise up a Prophet from Israel’s brethren “like unto me”; Israel must hearken to him.</w:t>
      </w:r>
    </w:p>
    <w:p>
      <w:pPr/>
      <w:r>
        <w:rPr>
          <w:i w:val="0"/>
        </w:rPr>
        <w:t>The promise has a prophetic succession dimension, but the New Testament explicitly identifies its climactic fulfilment with Jesus Christ.</w:t>
      </w:r>
    </w:p>
    <w:p>
      <w:pPr>
        <w:pStyle w:val="Heading2"/>
      </w:pPr>
      <w:r>
        <w:t>Acts 3:22–23 and Acts 7:37 — inspired application</w:t>
      </w:r>
    </w:p>
    <w:p>
      <w:pPr/>
      <w:r>
        <w:rPr>
          <w:i w:val="0"/>
        </w:rPr>
        <w:t>Peter quotes the passage in Acts 3 and applies the promised Prophet to Jesus; Stephen likewise identifies Moses’ promise in Acts 7.</w:t>
      </w:r>
    </w:p>
    <w:p>
      <w:pPr/>
      <w:r>
        <w:rPr>
          <w:i w:val="0"/>
        </w:rPr>
        <w:t>This direct apostolic use makes the Messianic identification more than Mansfield’s private typology.</w:t>
      </w:r>
    </w:p>
    <w:p>
      <w:pPr>
        <w:pStyle w:val="Heading2"/>
      </w:pPr>
      <w:r>
        <w:t>Deuteronomy 18:16–18 — answer to Horeb</w:t>
      </w:r>
    </w:p>
    <w:p>
      <w:pPr/>
      <w:r>
        <w:rPr>
          <w:i w:val="0"/>
        </w:rPr>
        <w:t>The promise responds to Israel’s request at Horeb not to continue hearing the overwhelming Divine voice directly. Yahweh says, “They have well spoken,” and promises to put His words in the Prophet’s mouth.</w:t>
      </w:r>
    </w:p>
    <w:p>
      <w:pPr>
        <w:pStyle w:val="Heading2"/>
      </w:pPr>
      <w:r>
        <w:t>Deuteronomy 18:19 — accountability to the Prophet’s words</w:t>
      </w:r>
    </w:p>
    <w:p>
      <w:pPr/>
      <w:r>
        <w:rPr>
          <w:i w:val="0"/>
        </w:rPr>
        <w:t>Whoever will not hear Yahweh’s words spoken in His Name will be called to account by Yahweh.</w:t>
      </w:r>
    </w:p>
    <w:p>
      <w:pPr/>
      <w:r>
        <w:rPr>
          <w:i w:val="0"/>
        </w:rPr>
        <w:t>Acts 3 renders the warning in the Septuagintal form that the disobedient person will be cut off from the people.</w:t>
      </w:r>
    </w:p>
    <w:p>
      <w:pPr>
        <w:pStyle w:val="Heading1"/>
      </w:pPr>
      <w:r>
        <w:t>FALSE PROPHETS TESTED — DEUTERONOMY 18:20–22</w:t>
      </w:r>
    </w:p>
    <w:p>
      <w:pPr>
        <w:pStyle w:val="Heading2"/>
      </w:pPr>
      <w:r>
        <w:t>Deuteronomy 18:20 — presumptuous speech</w:t>
      </w:r>
    </w:p>
    <w:p>
      <w:pPr/>
      <w:r>
        <w:rPr>
          <w:i w:val="0"/>
        </w:rPr>
        <w:t>A prophet who speaks in Yahweh’s Name what Yahweh did not command, or speaks for other gods, is false under Israel’s law.</w:t>
      </w:r>
    </w:p>
    <w:p>
      <w:pPr>
        <w:pStyle w:val="Heading2"/>
      </w:pPr>
      <w:r>
        <w:t>Deuteronomy 18:21–22 — failed prediction</w:t>
      </w:r>
    </w:p>
    <w:p>
      <w:pPr/>
      <w:r>
        <w:rPr>
          <w:i w:val="0"/>
        </w:rPr>
        <w:t>If a claimed prediction in Yahweh’s Name does not occur, Yahweh did not speak that word and Israel need not fear the claimant.</w:t>
      </w:r>
    </w:p>
    <w:p>
      <w:pPr>
        <w:pStyle w:val="Heading2"/>
      </w:pPr>
      <w:r>
        <w:t>Read together with Deuteronomy 13</w:t>
      </w:r>
    </w:p>
    <w:p>
      <w:pPr/>
      <w:r>
        <w:rPr>
          <w:i w:val="0"/>
        </w:rPr>
        <w:t>Deuteronomy 18 gives a negative predictive test: failed prophecy disproves the claimant. Deuteronomy 13 adds the doctrinal test: even a sign that occurs cannot legitimise teaching that leads away from Yahweh.</w:t>
      </w:r>
    </w:p>
    <w:p>
      <w:pPr/>
      <w:r>
        <w:rPr>
          <w:i w:val="0"/>
        </w:rPr>
        <w:t>The two chapters together prevent both credulity and sign-worship.</w:t>
      </w:r>
    </w:p>
    <w:p>
      <w:pPr>
        <w:pStyle w:val="Heading1"/>
      </w:pPr>
      <w:r>
        <w:t>PRINCIPAL THEMES</w:t>
      </w:r>
    </w:p>
    <w:p>
      <w:pPr>
        <w:ind w:left="259" w:hanging="202"/>
      </w:pPr>
      <w:r>
        <w:rPr>
          <w:b/>
        </w:rPr>
        <w:t xml:space="preserve">• </w:t>
      </w:r>
      <w:r>
        <w:t>Levi has no ordinary tribal territory because Yahweh’s service is its covenant inheritance.</w:t>
      </w:r>
    </w:p>
    <w:p>
      <w:pPr>
        <w:ind w:left="259" w:hanging="202"/>
      </w:pPr>
      <w:r>
        <w:rPr>
          <w:b/>
        </w:rPr>
        <w:t xml:space="preserve">• </w:t>
      </w:r>
      <w:r>
        <w:t>The precise relationship of Deuteronomy 18:3’s priestly portions to earlier sacrificial legislation is debated.</w:t>
      </w:r>
    </w:p>
    <w:p>
      <w:pPr>
        <w:ind w:left="259" w:hanging="202"/>
      </w:pPr>
      <w:r>
        <w:rPr>
          <w:b/>
        </w:rPr>
        <w:t xml:space="preserve">• </w:t>
      </w:r>
      <w:r>
        <w:t>Several occult terms are technical and cannot be mapped with complete certainty to modern categories.</w:t>
      </w:r>
    </w:p>
    <w:p>
      <w:pPr>
        <w:ind w:left="259" w:hanging="202"/>
      </w:pPr>
      <w:r>
        <w:rPr>
          <w:b/>
        </w:rPr>
        <w:t xml:space="preserve">• </w:t>
      </w:r>
      <w:r>
        <w:t>`’Ob` does not justify reducing ancient medium practice simply to ventriloquism.</w:t>
      </w:r>
    </w:p>
    <w:p>
      <w:pPr>
        <w:ind w:left="259" w:hanging="202"/>
      </w:pPr>
      <w:r>
        <w:rPr>
          <w:b/>
        </w:rPr>
        <w:t xml:space="preserve">• </w:t>
      </w:r>
      <w:r>
        <w:t>`Tamim` means whole/complete/blameless in loyalty, not absolute sinlessness.</w:t>
      </w:r>
    </w:p>
    <w:p>
      <w:pPr>
        <w:ind w:left="259" w:hanging="202"/>
      </w:pPr>
      <w:r>
        <w:rPr>
          <w:b/>
        </w:rPr>
        <w:t xml:space="preserve">• </w:t>
      </w:r>
      <w:r>
        <w:t>Yahweh answers forbidden divination by giving authoritative revelation.</w:t>
      </w:r>
    </w:p>
    <w:p>
      <w:pPr>
        <w:ind w:left="259" w:hanging="202"/>
      </w:pPr>
      <w:r>
        <w:rPr>
          <w:b/>
        </w:rPr>
        <w:t xml:space="preserve">• </w:t>
      </w:r>
      <w:r>
        <w:t>The Prophet like Moses is explicitly applied to Christ in Acts 3 and Acts 7.</w:t>
      </w:r>
    </w:p>
    <w:p>
      <w:pPr>
        <w:ind w:left="259" w:hanging="202"/>
      </w:pPr>
      <w:r>
        <w:rPr>
          <w:b/>
        </w:rPr>
        <w:t xml:space="preserve">• </w:t>
      </w:r>
      <w:r>
        <w:t>Failed prediction is one test of false prophecy.</w:t>
      </w:r>
    </w:p>
    <w:p>
      <w:pPr>
        <w:ind w:left="259" w:hanging="202"/>
      </w:pPr>
      <w:r>
        <w:rPr>
          <w:b/>
        </w:rPr>
        <w:t xml:space="preserve">• </w:t>
      </w:r>
      <w:r>
        <w:t>Deuteronomy 13 supplies the complementary doctrinal test when a sign actually occurs.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18:1–2</w:t>
            </w:r>
          </w:p>
        </w:tc>
        <w:tc>
          <w:tcPr>
            <w:tcW w:type="dxa" w:w="3561"/>
            <w:vAlign w:val="top"/>
          </w:tcPr>
          <w:p>
            <w:pPr>
              <w:spacing w:after="0" w:line="223" w:lineRule="auto"/>
            </w:pPr>
            <w:r>
              <w:rPr>
                <w:rFonts w:ascii="Times New Roman" w:hAnsi="Times New Roman"/>
                <w:sz w:val="13"/>
              </w:rPr>
              <w:t>Levitical inheritance</w:t>
            </w:r>
          </w:p>
        </w:tc>
        <w:tc>
          <w:tcPr>
            <w:tcW w:type="dxa" w:w="3561"/>
            <w:vAlign w:val="top"/>
          </w:tcPr>
          <w:p>
            <w:pPr>
              <w:spacing w:after="0" w:line="223" w:lineRule="auto"/>
            </w:pPr>
            <w:r>
              <w:rPr>
                <w:rFonts w:ascii="Times New Roman" w:hAnsi="Times New Roman"/>
                <w:sz w:val="13"/>
              </w:rPr>
              <w:t>No normal tribal territory; Yahweh/provisions are inheritance.</w:t>
            </w:r>
          </w:p>
        </w:tc>
      </w:tr>
      <w:tr>
        <w:tc>
          <w:tcPr>
            <w:tcW w:type="dxa" w:w="3561"/>
            <w:vAlign w:val="top"/>
          </w:tcPr>
          <w:p>
            <w:pPr>
              <w:spacing w:after="0" w:line="223" w:lineRule="auto"/>
            </w:pPr>
            <w:r>
              <w:rPr>
                <w:rFonts w:ascii="Times New Roman" w:hAnsi="Times New Roman"/>
                <w:sz w:val="13"/>
              </w:rPr>
              <w:t>Deut. 18:3</w:t>
            </w:r>
          </w:p>
        </w:tc>
        <w:tc>
          <w:tcPr>
            <w:tcW w:type="dxa" w:w="3561"/>
            <w:vAlign w:val="top"/>
          </w:tcPr>
          <w:p>
            <w:pPr>
              <w:spacing w:after="0" w:line="223" w:lineRule="auto"/>
            </w:pPr>
            <w:r>
              <w:rPr>
                <w:rFonts w:ascii="Times New Roman" w:hAnsi="Times New Roman"/>
                <w:sz w:val="13"/>
              </w:rPr>
              <w:t>shoulder/cheeks/qebah</w:t>
            </w:r>
          </w:p>
        </w:tc>
        <w:tc>
          <w:tcPr>
            <w:tcW w:type="dxa" w:w="3561"/>
            <w:vAlign w:val="top"/>
          </w:tcPr>
          <w:p>
            <w:pPr>
              <w:spacing w:after="0" w:line="223" w:lineRule="auto"/>
            </w:pPr>
            <w:r>
              <w:rPr>
                <w:rFonts w:ascii="Times New Roman" w:hAnsi="Times New Roman"/>
                <w:sz w:val="13"/>
              </w:rPr>
              <w:t>Priestly due; relation to earlier offering law debated.</w:t>
            </w:r>
          </w:p>
        </w:tc>
      </w:tr>
      <w:tr>
        <w:tc>
          <w:tcPr>
            <w:tcW w:type="dxa" w:w="3561"/>
            <w:vAlign w:val="top"/>
          </w:tcPr>
          <w:p>
            <w:pPr>
              <w:spacing w:after="0" w:line="223" w:lineRule="auto"/>
            </w:pPr>
            <w:r>
              <w:rPr>
                <w:rFonts w:ascii="Times New Roman" w:hAnsi="Times New Roman"/>
                <w:sz w:val="13"/>
              </w:rPr>
              <w:t>Deut. 18:6–8</w:t>
            </w:r>
          </w:p>
        </w:tc>
        <w:tc>
          <w:tcPr>
            <w:tcW w:type="dxa" w:w="3561"/>
            <w:vAlign w:val="top"/>
          </w:tcPr>
          <w:p>
            <w:pPr>
              <w:spacing w:after="0" w:line="223" w:lineRule="auto"/>
            </w:pPr>
            <w:r>
              <w:rPr>
                <w:rFonts w:ascii="Times New Roman" w:hAnsi="Times New Roman"/>
                <w:sz w:val="13"/>
              </w:rPr>
              <w:t>Levite at chosen place</w:t>
            </w:r>
          </w:p>
        </w:tc>
        <w:tc>
          <w:tcPr>
            <w:tcW w:type="dxa" w:w="3561"/>
            <w:vAlign w:val="top"/>
          </w:tcPr>
          <w:p>
            <w:pPr>
              <w:spacing w:after="0" w:line="223" w:lineRule="auto"/>
            </w:pPr>
            <w:r>
              <w:rPr>
                <w:rFonts w:ascii="Times New Roman" w:hAnsi="Times New Roman"/>
                <w:sz w:val="13"/>
              </w:rPr>
              <w:t>May minister and share portions.</w:t>
            </w:r>
          </w:p>
        </w:tc>
      </w:tr>
      <w:tr>
        <w:tc>
          <w:tcPr>
            <w:tcW w:type="dxa" w:w="3561"/>
            <w:vAlign w:val="top"/>
          </w:tcPr>
          <w:p>
            <w:pPr>
              <w:spacing w:after="0" w:line="223" w:lineRule="auto"/>
            </w:pPr>
            <w:r>
              <w:rPr>
                <w:rFonts w:ascii="Times New Roman" w:hAnsi="Times New Roman"/>
                <w:sz w:val="13"/>
              </w:rPr>
              <w:t>Deut. 18:8</w:t>
            </w:r>
          </w:p>
        </w:tc>
        <w:tc>
          <w:tcPr>
            <w:tcW w:type="dxa" w:w="3561"/>
            <w:vAlign w:val="top"/>
          </w:tcPr>
          <w:p>
            <w:pPr>
              <w:spacing w:after="0" w:line="223" w:lineRule="auto"/>
            </w:pPr>
            <w:r>
              <w:rPr>
                <w:rFonts w:ascii="Times New Roman" w:hAnsi="Times New Roman"/>
                <w:sz w:val="13"/>
              </w:rPr>
              <w:t>patrimony phrase</w:t>
            </w:r>
          </w:p>
        </w:tc>
        <w:tc>
          <w:tcPr>
            <w:tcW w:type="dxa" w:w="3561"/>
            <w:vAlign w:val="top"/>
          </w:tcPr>
          <w:p>
            <w:pPr>
              <w:spacing w:after="0" w:line="223" w:lineRule="auto"/>
            </w:pPr>
            <w:r>
              <w:rPr>
                <w:rFonts w:ascii="Times New Roman" w:hAnsi="Times New Roman"/>
                <w:sz w:val="13"/>
              </w:rPr>
              <w:t>Difficult wording; avoid over-specific property reconstruction.</w:t>
            </w:r>
          </w:p>
        </w:tc>
      </w:tr>
      <w:tr>
        <w:tc>
          <w:tcPr>
            <w:tcW w:type="dxa" w:w="3561"/>
            <w:vAlign w:val="top"/>
          </w:tcPr>
          <w:p>
            <w:pPr>
              <w:spacing w:after="0" w:line="223" w:lineRule="auto"/>
            </w:pPr>
            <w:r>
              <w:rPr>
                <w:rFonts w:ascii="Times New Roman" w:hAnsi="Times New Roman"/>
                <w:sz w:val="13"/>
              </w:rPr>
              <w:t>Deut. 18:10</w:t>
            </w:r>
          </w:p>
        </w:tc>
        <w:tc>
          <w:tcPr>
            <w:tcW w:type="dxa" w:w="3561"/>
            <w:vAlign w:val="top"/>
          </w:tcPr>
          <w:p>
            <w:pPr>
              <w:spacing w:after="0" w:line="223" w:lineRule="auto"/>
            </w:pPr>
            <w:r>
              <w:rPr>
                <w:rFonts w:ascii="Times New Roman" w:hAnsi="Times New Roman"/>
                <w:sz w:val="13"/>
              </w:rPr>
              <w:t>qesem</w:t>
            </w:r>
          </w:p>
        </w:tc>
        <w:tc>
          <w:tcPr>
            <w:tcW w:type="dxa" w:w="3561"/>
            <w:vAlign w:val="top"/>
          </w:tcPr>
          <w:p>
            <w:pPr>
              <w:spacing w:after="0" w:line="223" w:lineRule="auto"/>
            </w:pPr>
            <w:r>
              <w:rPr>
                <w:rFonts w:ascii="Times New Roman" w:hAnsi="Times New Roman"/>
                <w:sz w:val="13"/>
              </w:rPr>
              <w:t>Divination.</w:t>
            </w:r>
          </w:p>
        </w:tc>
      </w:tr>
      <w:tr>
        <w:tc>
          <w:tcPr>
            <w:tcW w:type="dxa" w:w="3561"/>
            <w:vAlign w:val="top"/>
          </w:tcPr>
          <w:p>
            <w:pPr>
              <w:spacing w:after="0" w:line="223" w:lineRule="auto"/>
            </w:pPr>
            <w:r>
              <w:rPr>
                <w:rFonts w:ascii="Times New Roman" w:hAnsi="Times New Roman"/>
                <w:sz w:val="13"/>
              </w:rPr>
              <w:t>Deut. 18:10–11</w:t>
            </w:r>
          </w:p>
        </w:tc>
        <w:tc>
          <w:tcPr>
            <w:tcW w:type="dxa" w:w="3561"/>
            <w:vAlign w:val="top"/>
          </w:tcPr>
          <w:p>
            <w:pPr>
              <w:spacing w:after="0" w:line="223" w:lineRule="auto"/>
            </w:pPr>
            <w:r>
              <w:rPr>
                <w:rFonts w:ascii="Times New Roman" w:hAnsi="Times New Roman"/>
                <w:sz w:val="13"/>
              </w:rPr>
              <w:t>occult terms</w:t>
            </w:r>
          </w:p>
        </w:tc>
        <w:tc>
          <w:tcPr>
            <w:tcW w:type="dxa" w:w="3561"/>
            <w:vAlign w:val="top"/>
          </w:tcPr>
          <w:p>
            <w:pPr>
              <w:spacing w:after="0" w:line="223" w:lineRule="auto"/>
            </w:pPr>
            <w:r>
              <w:rPr>
                <w:rFonts w:ascii="Times New Roman" w:hAnsi="Times New Roman"/>
                <w:sz w:val="13"/>
              </w:rPr>
              <w:t>Several exact technical meanings uncertain.</w:t>
            </w:r>
          </w:p>
        </w:tc>
      </w:tr>
      <w:tr>
        <w:tc>
          <w:tcPr>
            <w:tcW w:type="dxa" w:w="3561"/>
            <w:vAlign w:val="top"/>
          </w:tcPr>
          <w:p>
            <w:pPr>
              <w:spacing w:after="0" w:line="223" w:lineRule="auto"/>
            </w:pPr>
            <w:r>
              <w:rPr>
                <w:rFonts w:ascii="Times New Roman" w:hAnsi="Times New Roman"/>
                <w:sz w:val="13"/>
              </w:rPr>
              <w:t>Deut. 18:11</w:t>
            </w:r>
          </w:p>
        </w:tc>
        <w:tc>
          <w:tcPr>
            <w:tcW w:type="dxa" w:w="3561"/>
            <w:vAlign w:val="top"/>
          </w:tcPr>
          <w:p>
            <w:pPr>
              <w:spacing w:after="0" w:line="223" w:lineRule="auto"/>
            </w:pPr>
            <w:r>
              <w:rPr>
                <w:rFonts w:ascii="Times New Roman" w:hAnsi="Times New Roman"/>
                <w:sz w:val="13"/>
              </w:rPr>
              <w:t>’ob</w:t>
            </w:r>
          </w:p>
        </w:tc>
        <w:tc>
          <w:tcPr>
            <w:tcW w:type="dxa" w:w="3561"/>
            <w:vAlign w:val="top"/>
          </w:tcPr>
          <w:p>
            <w:pPr>
              <w:spacing w:after="0" w:line="223" w:lineRule="auto"/>
            </w:pPr>
            <w:r>
              <w:rPr>
                <w:rFonts w:ascii="Times New Roman" w:hAnsi="Times New Roman"/>
                <w:sz w:val="13"/>
              </w:rPr>
              <w:t>Necromantic medium/spirit term; ventriloquism theory unproved.</w:t>
            </w:r>
          </w:p>
        </w:tc>
      </w:tr>
      <w:tr>
        <w:tc>
          <w:tcPr>
            <w:tcW w:type="dxa" w:w="3561"/>
            <w:vAlign w:val="top"/>
          </w:tcPr>
          <w:p>
            <w:pPr>
              <w:spacing w:after="0" w:line="223" w:lineRule="auto"/>
            </w:pPr>
            <w:r>
              <w:rPr>
                <w:rFonts w:ascii="Times New Roman" w:hAnsi="Times New Roman"/>
                <w:sz w:val="13"/>
              </w:rPr>
              <w:t>Deut. 18:13</w:t>
            </w:r>
          </w:p>
        </w:tc>
        <w:tc>
          <w:tcPr>
            <w:tcW w:type="dxa" w:w="3561"/>
            <w:vAlign w:val="top"/>
          </w:tcPr>
          <w:p>
            <w:pPr>
              <w:spacing w:after="0" w:line="223" w:lineRule="auto"/>
            </w:pPr>
            <w:r>
              <w:rPr>
                <w:rFonts w:ascii="Times New Roman" w:hAnsi="Times New Roman"/>
                <w:sz w:val="13"/>
              </w:rPr>
              <w:t>tamim</w:t>
            </w:r>
          </w:p>
        </w:tc>
        <w:tc>
          <w:tcPr>
            <w:tcW w:type="dxa" w:w="3561"/>
            <w:vAlign w:val="top"/>
          </w:tcPr>
          <w:p>
            <w:pPr>
              <w:spacing w:after="0" w:line="223" w:lineRule="auto"/>
            </w:pPr>
            <w:r>
              <w:rPr>
                <w:rFonts w:ascii="Times New Roman" w:hAnsi="Times New Roman"/>
                <w:sz w:val="13"/>
              </w:rPr>
              <w:t>Whole/complete/blameless in covenant loyalty.</w:t>
            </w:r>
          </w:p>
        </w:tc>
      </w:tr>
      <w:tr>
        <w:tc>
          <w:tcPr>
            <w:tcW w:type="dxa" w:w="3561"/>
            <w:vAlign w:val="top"/>
          </w:tcPr>
          <w:p>
            <w:pPr>
              <w:spacing w:after="0" w:line="223" w:lineRule="auto"/>
            </w:pPr>
            <w:r>
              <w:rPr>
                <w:rFonts w:ascii="Times New Roman" w:hAnsi="Times New Roman"/>
                <w:sz w:val="13"/>
              </w:rPr>
              <w:t>Deut. 18:15</w:t>
            </w:r>
          </w:p>
        </w:tc>
        <w:tc>
          <w:tcPr>
            <w:tcW w:type="dxa" w:w="3561"/>
            <w:vAlign w:val="top"/>
          </w:tcPr>
          <w:p>
            <w:pPr>
              <w:spacing w:after="0" w:line="223" w:lineRule="auto"/>
            </w:pPr>
            <w:r>
              <w:rPr>
                <w:rFonts w:ascii="Times New Roman" w:hAnsi="Times New Roman"/>
                <w:sz w:val="13"/>
              </w:rPr>
              <w:t>Prophet like Moses</w:t>
            </w:r>
          </w:p>
        </w:tc>
        <w:tc>
          <w:tcPr>
            <w:tcW w:type="dxa" w:w="3561"/>
            <w:vAlign w:val="top"/>
          </w:tcPr>
          <w:p>
            <w:pPr>
              <w:spacing w:after="0" w:line="223" w:lineRule="auto"/>
            </w:pPr>
            <w:r>
              <w:rPr>
                <w:rFonts w:ascii="Times New Roman" w:hAnsi="Times New Roman"/>
                <w:sz w:val="13"/>
              </w:rPr>
              <w:t>Hear him.</w:t>
            </w:r>
          </w:p>
        </w:tc>
      </w:tr>
      <w:tr>
        <w:tc>
          <w:tcPr>
            <w:tcW w:type="dxa" w:w="3561"/>
            <w:vAlign w:val="top"/>
          </w:tcPr>
          <w:p>
            <w:pPr>
              <w:spacing w:after="0" w:line="223" w:lineRule="auto"/>
            </w:pPr>
            <w:r>
              <w:rPr>
                <w:rFonts w:ascii="Times New Roman" w:hAnsi="Times New Roman"/>
                <w:sz w:val="13"/>
              </w:rPr>
              <w:t>Acts 3:22–23</w:t>
            </w:r>
          </w:p>
        </w:tc>
        <w:tc>
          <w:tcPr>
            <w:tcW w:type="dxa" w:w="3561"/>
            <w:vAlign w:val="top"/>
          </w:tcPr>
          <w:p>
            <w:pPr>
              <w:spacing w:after="0" w:line="223" w:lineRule="auto"/>
            </w:pPr>
            <w:r>
              <w:rPr>
                <w:rFonts w:ascii="Times New Roman" w:hAnsi="Times New Roman"/>
                <w:sz w:val="13"/>
              </w:rPr>
              <w:t>Christ application</w:t>
            </w:r>
          </w:p>
        </w:tc>
        <w:tc>
          <w:tcPr>
            <w:tcW w:type="dxa" w:w="3561"/>
            <w:vAlign w:val="top"/>
          </w:tcPr>
          <w:p>
            <w:pPr>
              <w:spacing w:after="0" w:line="223" w:lineRule="auto"/>
            </w:pPr>
            <w:r>
              <w:rPr>
                <w:rFonts w:ascii="Times New Roman" w:hAnsi="Times New Roman"/>
                <w:sz w:val="13"/>
              </w:rPr>
              <w:t>Peter explicitly cites Deut. 18.</w:t>
            </w:r>
          </w:p>
        </w:tc>
      </w:tr>
      <w:tr>
        <w:tc>
          <w:tcPr>
            <w:tcW w:type="dxa" w:w="3561"/>
            <w:vAlign w:val="top"/>
          </w:tcPr>
          <w:p>
            <w:pPr>
              <w:spacing w:after="0" w:line="223" w:lineRule="auto"/>
            </w:pPr>
            <w:r>
              <w:rPr>
                <w:rFonts w:ascii="Times New Roman" w:hAnsi="Times New Roman"/>
                <w:sz w:val="13"/>
              </w:rPr>
              <w:t>Acts 7:37</w:t>
            </w:r>
          </w:p>
        </w:tc>
        <w:tc>
          <w:tcPr>
            <w:tcW w:type="dxa" w:w="3561"/>
            <w:vAlign w:val="top"/>
          </w:tcPr>
          <w:p>
            <w:pPr>
              <w:spacing w:after="0" w:line="223" w:lineRule="auto"/>
            </w:pPr>
            <w:r>
              <w:rPr>
                <w:rFonts w:ascii="Times New Roman" w:hAnsi="Times New Roman"/>
                <w:sz w:val="13"/>
              </w:rPr>
              <w:t>Christ/Moses promise recalled</w:t>
            </w:r>
          </w:p>
        </w:tc>
        <w:tc>
          <w:tcPr>
            <w:tcW w:type="dxa" w:w="3561"/>
            <w:vAlign w:val="top"/>
          </w:tcPr>
          <w:p>
            <w:pPr>
              <w:spacing w:after="0" w:line="223" w:lineRule="auto"/>
            </w:pPr>
            <w:r>
              <w:rPr>
                <w:rFonts w:ascii="Times New Roman" w:hAnsi="Times New Roman"/>
                <w:sz w:val="13"/>
              </w:rPr>
              <w:t>Stephen quotes the promise.</w:t>
            </w:r>
          </w:p>
        </w:tc>
      </w:tr>
      <w:tr>
        <w:tc>
          <w:tcPr>
            <w:tcW w:type="dxa" w:w="3561"/>
            <w:vAlign w:val="top"/>
          </w:tcPr>
          <w:p>
            <w:pPr>
              <w:spacing w:after="0" w:line="223" w:lineRule="auto"/>
            </w:pPr>
            <w:r>
              <w:rPr>
                <w:rFonts w:ascii="Times New Roman" w:hAnsi="Times New Roman"/>
                <w:sz w:val="13"/>
              </w:rPr>
              <w:t>Deut. 18:18</w:t>
            </w:r>
          </w:p>
        </w:tc>
        <w:tc>
          <w:tcPr>
            <w:tcW w:type="dxa" w:w="3561"/>
            <w:vAlign w:val="top"/>
          </w:tcPr>
          <w:p>
            <w:pPr>
              <w:spacing w:after="0" w:line="223" w:lineRule="auto"/>
            </w:pPr>
            <w:r>
              <w:rPr>
                <w:rFonts w:ascii="Times New Roman" w:hAnsi="Times New Roman"/>
                <w:sz w:val="13"/>
              </w:rPr>
              <w:t>words in his mouth</w:t>
            </w:r>
          </w:p>
        </w:tc>
        <w:tc>
          <w:tcPr>
            <w:tcW w:type="dxa" w:w="3561"/>
            <w:vAlign w:val="top"/>
          </w:tcPr>
          <w:p>
            <w:pPr>
              <w:spacing w:after="0" w:line="223" w:lineRule="auto"/>
            </w:pPr>
            <w:r>
              <w:rPr>
                <w:rFonts w:ascii="Times New Roman" w:hAnsi="Times New Roman"/>
                <w:sz w:val="13"/>
              </w:rPr>
              <w:t>Yahweh-authorised spokesman.</w:t>
            </w:r>
          </w:p>
        </w:tc>
      </w:tr>
      <w:tr>
        <w:tc>
          <w:tcPr>
            <w:tcW w:type="dxa" w:w="3561"/>
            <w:vAlign w:val="top"/>
          </w:tcPr>
          <w:p>
            <w:pPr>
              <w:spacing w:after="0" w:line="223" w:lineRule="auto"/>
            </w:pPr>
            <w:r>
              <w:rPr>
                <w:rFonts w:ascii="Times New Roman" w:hAnsi="Times New Roman"/>
                <w:sz w:val="13"/>
              </w:rPr>
              <w:t>Deut. 18:22</w:t>
            </w:r>
          </w:p>
        </w:tc>
        <w:tc>
          <w:tcPr>
            <w:tcW w:type="dxa" w:w="3561"/>
            <w:vAlign w:val="top"/>
          </w:tcPr>
          <w:p>
            <w:pPr>
              <w:spacing w:after="0" w:line="223" w:lineRule="auto"/>
            </w:pPr>
            <w:r>
              <w:rPr>
                <w:rFonts w:ascii="Times New Roman" w:hAnsi="Times New Roman"/>
                <w:sz w:val="13"/>
              </w:rPr>
              <w:t>prediction fails</w:t>
            </w:r>
          </w:p>
        </w:tc>
        <w:tc>
          <w:tcPr>
            <w:tcW w:type="dxa" w:w="3561"/>
            <w:vAlign w:val="top"/>
          </w:tcPr>
          <w:p>
            <w:pPr>
              <w:spacing w:after="0" w:line="223" w:lineRule="auto"/>
            </w:pPr>
            <w:r>
              <w:rPr>
                <w:rFonts w:ascii="Times New Roman" w:hAnsi="Times New Roman"/>
                <w:sz w:val="13"/>
              </w:rPr>
              <w:t>Claimed word not from Yahweh.</w:t>
            </w:r>
          </w:p>
        </w:tc>
      </w:tr>
      <w:tr>
        <w:tc>
          <w:tcPr>
            <w:tcW w:type="dxa" w:w="3561"/>
            <w:vAlign w:val="top"/>
          </w:tcPr>
          <w:p>
            <w:pPr>
              <w:spacing w:after="0" w:line="223" w:lineRule="auto"/>
            </w:pPr>
            <w:r>
              <w:rPr>
                <w:rFonts w:ascii="Times New Roman" w:hAnsi="Times New Roman"/>
                <w:sz w:val="13"/>
              </w:rPr>
              <w:t>Deut. 13:1–3</w:t>
            </w:r>
          </w:p>
        </w:tc>
        <w:tc>
          <w:tcPr>
            <w:tcW w:type="dxa" w:w="3561"/>
            <w:vAlign w:val="top"/>
          </w:tcPr>
          <w:p>
            <w:pPr>
              <w:spacing w:after="0" w:line="223" w:lineRule="auto"/>
            </w:pPr>
            <w:r>
              <w:rPr>
                <w:rFonts w:ascii="Times New Roman" w:hAnsi="Times New Roman"/>
                <w:sz w:val="13"/>
              </w:rPr>
              <w:t>sign succeeds but doctrine false</w:t>
            </w:r>
          </w:p>
        </w:tc>
        <w:tc>
          <w:tcPr>
            <w:tcW w:type="dxa" w:w="3561"/>
            <w:vAlign w:val="top"/>
          </w:tcPr>
          <w:p>
            <w:pPr>
              <w:spacing w:after="0" w:line="223" w:lineRule="auto"/>
            </w:pPr>
            <w:r>
              <w:rPr>
                <w:rFonts w:ascii="Times New Roman" w:hAnsi="Times New Roman"/>
                <w:sz w:val="13"/>
              </w:rPr>
              <w:t>Complementary test.</w:t>
            </w:r>
          </w:p>
        </w:tc>
      </w:tr>
    </w:tbl>
    <w:p>
      <w:pPr>
        <w:pStyle w:val="Heading1"/>
      </w:pPr>
      <w:r>
        <w:t>RESIDUAL UNCERTAINTIES</w:t>
      </w:r>
    </w:p>
    <w:p>
      <w:pPr/>
      <w:r>
        <w:rPr>
          <w:i w:val="0"/>
        </w:rPr>
        <w:t>The exact identification of several ancient divinatory practices and the difficult patrimony phrase in verse 8 remain uncertain. Mansfield’s ventriloquism reconstruction is retained only as a historical proposal. The Christological application of verses 15–19, by contrast, is directly grounded in New Testament apostolic citation.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