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19</w:t>
      </w:r>
    </w:p>
    <w:p>
      <w:pPr>
        <w:pStyle w:val="Subtitle"/>
      </w:pPr>
      <w:r>
        <w:t>CITIES OF REFUGE • PREPARE THE WAY • ACCIDENTAL KILLING AND THE BLOOD-AVENGER • THREE MORE IF THE BORDER IS ENLARGED • NO REFUGE FOR MURDER • DO NOT MOVE THE LANDMARK • TWO OR THREE WITNESSES • FALSE WITNESS • PROPORTIONATE JUSTICE</w:t>
      </w:r>
    </w:p>
    <w:p>
      <w:pPr/>
      <w:r>
        <w:rPr>
          <w:i/>
        </w:rPr>
        <w:t>H. P. Mansfield Bible notes — checked and arranged in verse-by-verse Expositor style</w:t>
      </w:r>
    </w:p>
    <w:p>
      <w:pPr/>
      <w:r>
        <w:rPr>
          <w:i w:val="0"/>
        </w:rPr>
        <w:t>Source: HPB 04-Deu01-Jud04.PDF p. 31–opening p. 32; cross-checked with Mansfield’s Deuteronomy Expositor Chapter 19 and Numbers 35.</w:t>
      </w:r>
    </w:p>
    <w:p>
      <w:pPr>
        <w:pStyle w:val="Heading1"/>
      </w:pPr>
      <w:r>
        <w:t>CHAPTER OVERVIEW</w:t>
      </w:r>
    </w:p>
    <w:p>
      <w:pPr/>
      <w:r>
        <w:rPr>
          <w:i w:val="0"/>
        </w:rPr>
        <w:t>Deuteronomy 19 protects justice in both directions. The unintentional manslayer receives accessible refuge from immediate blood vengeance, while deliberate murder receives no immunity. Property boundaries are protected and serious accusation requires corroboration.</w:t>
      </w:r>
    </w:p>
    <w:p>
      <w:pPr/>
      <w:r>
        <w:rPr>
          <w:i w:val="0"/>
        </w:rPr>
        <w:t>The chapter concludes with proportional judicial judgment against malicious false testimony. “Eye for eye” is a court principle limiting punishment, not permission for personal retaliation.</w:t>
      </w:r>
    </w:p>
    <w:p>
      <w:pPr>
        <w:pStyle w:val="Heading1"/>
      </w:pPr>
      <w:r>
        <w:t>THREE WESTERN CITIES OF REFUGE — DEUTERONOMY 19:1–3</w:t>
      </w:r>
    </w:p>
    <w:p>
      <w:pPr>
        <w:pStyle w:val="Heading2"/>
      </w:pPr>
      <w:r>
        <w:t>Deuteronomy 19:1–2 — three cities in Canaan</w:t>
      </w:r>
    </w:p>
    <w:p>
      <w:pPr/>
      <w:r>
        <w:rPr>
          <w:i w:val="0"/>
        </w:rPr>
        <w:t>After Yahweh gives Israel the Canaanite land, three refuge cities are to be separated within it.</w:t>
      </w:r>
    </w:p>
    <w:p>
      <w:pPr/>
      <w:r>
        <w:rPr>
          <w:i w:val="0"/>
        </w:rPr>
        <w:t>Three refuge cities had already been set apart east of Jordan in Deuteronomy 4:41–43; Numbers 35 establishes the normal six-city arrangement, three on each side.</w:t>
      </w:r>
    </w:p>
    <w:p>
      <w:pPr>
        <w:pStyle w:val="Heading2"/>
      </w:pPr>
      <w:r>
        <w:t>Deuteronomy 19:3 — “prepare the way”</w:t>
      </w:r>
    </w:p>
    <w:p>
      <w:pPr/>
      <w:r>
        <w:rPr>
          <w:i w:val="0"/>
        </w:rPr>
        <w:t>Israel must prepare the way and divide the territory into three regions so a manslayer can flee to refuge.</w:t>
      </w:r>
    </w:p>
    <w:p>
      <w:pPr/>
      <w:r>
        <w:rPr>
          <w:i w:val="0"/>
        </w:rPr>
        <w:t>Jewish tradition later describes maintained roads and signposts. The biblical command certainly requires practical accessibility, but Mansfield’s detailed road-maintenance picture should be distinguished from later implementation tradition.</w:t>
      </w:r>
    </w:p>
    <w:p>
      <w:pPr>
        <w:pStyle w:val="Heading1"/>
      </w:pPr>
      <w:r>
        <w:t>THE UNINTENTIONAL MANSLAYER — DEUTERONOMY 19:4–7</w:t>
      </w:r>
    </w:p>
    <w:p>
      <w:pPr>
        <w:pStyle w:val="Heading2"/>
      </w:pPr>
      <w:r>
        <w:t>Deuteronomy 19:4 — no prior hatred</w:t>
      </w:r>
    </w:p>
    <w:p>
      <w:pPr/>
      <w:r>
        <w:rPr>
          <w:i w:val="0"/>
        </w:rPr>
        <w:t>Refuge is for one who kills a neighbour unintentionally and did not hate the victim previously.</w:t>
      </w:r>
    </w:p>
    <w:p>
      <w:pPr>
        <w:pStyle w:val="Heading2"/>
      </w:pPr>
      <w:r>
        <w:t>Deuteronomy 19:5 — the axe example</w:t>
      </w:r>
    </w:p>
    <w:p>
      <w:pPr/>
      <w:r>
        <w:rPr>
          <w:i w:val="0"/>
        </w:rPr>
        <w:t>A man chopping wood swings an axe and the iron/head flies from the wood/handle and fatally strikes his neighbour.</w:t>
      </w:r>
    </w:p>
    <w:p>
      <w:pPr/>
      <w:r>
        <w:rPr>
          <w:i w:val="0"/>
        </w:rPr>
        <w:t>The Hebrew wording can be understood as the iron axe head slipping from the wooden handle; some have proposed a wood-chip interpretation. The ordinary axe-head reading remains natural but the mechanics need not be overstated.</w:t>
      </w:r>
    </w:p>
    <w:p>
      <w:pPr>
        <w:pStyle w:val="Heading2"/>
      </w:pPr>
      <w:r>
        <w:t>Deuteronomy 19:6 — the `go’el haddam`</w:t>
      </w:r>
    </w:p>
    <w:p>
      <w:pPr/>
      <w:r>
        <w:rPr>
          <w:i w:val="0"/>
        </w:rPr>
        <w:t>The blood-avenger/kinsman may pursue while emotionally inflamed and kill the manslayer unless refuge is readily reachable.</w:t>
      </w:r>
    </w:p>
    <w:p>
      <w:pPr/>
      <w:r>
        <w:rPr>
          <w:i w:val="0"/>
        </w:rPr>
        <w:t>The law therefore restrains premature vengeance so the difference between murder and accident can be adjudicated.</w:t>
      </w:r>
    </w:p>
    <w:p>
      <w:pPr>
        <w:pStyle w:val="Heading1"/>
      </w:pPr>
      <w:r>
        <w:t>THREE ADDITIONAL CITIES IF THE PROMISE EXPANDS — DEUTERONOMY 19:8–10</w:t>
      </w:r>
    </w:p>
    <w:p>
      <w:pPr>
        <w:pStyle w:val="Heading2"/>
      </w:pPr>
      <w:r>
        <w:t>Deuteronomy 19:8–9 — three more beyond the immediate arrangement</w:t>
      </w:r>
    </w:p>
    <w:p>
      <w:pPr/>
      <w:r>
        <w:rPr>
          <w:i w:val="0"/>
        </w:rPr>
        <w:t>If Yahweh enlarges Israel’s territory to the broader extent promised to the fathers, Israel is to add three more refuge cities.</w:t>
      </w:r>
    </w:p>
    <w:p>
      <w:pPr/>
      <w:r>
        <w:rPr>
          <w:i w:val="0"/>
        </w:rPr>
        <w:t>These are additional to the three just commanded west of Jordan. With the three already east, full implementation of this conditional expansion would yield nine refuge cities, not merely the standard six.</w:t>
      </w:r>
    </w:p>
    <w:p>
      <w:pPr>
        <w:pStyle w:val="Heading2"/>
      </w:pPr>
      <w:r>
        <w:t>Deuteronomy 19:9 — conditional covenant setting</w:t>
      </w:r>
    </w:p>
    <w:p>
      <w:pPr/>
      <w:r>
        <w:rPr>
          <w:i w:val="0"/>
        </w:rPr>
        <w:t>The enlargement is tied to loving Yahweh and walking continually in His ways.</w:t>
      </w:r>
    </w:p>
    <w:p>
      <w:pPr>
        <w:pStyle w:val="Heading2"/>
      </w:pPr>
      <w:r>
        <w:t>Deuteronomy 19:10 — prevent innocent blood</w:t>
      </w:r>
    </w:p>
    <w:p>
      <w:pPr/>
      <w:r>
        <w:rPr>
          <w:i w:val="0"/>
        </w:rPr>
        <w:t>The purpose is to prevent innocent bloodshed and national bloodguilt.</w:t>
      </w:r>
    </w:p>
    <w:p>
      <w:pPr>
        <w:pStyle w:val="Heading1"/>
      </w:pPr>
      <w:r>
        <w:t>NO REFUGE FOR DELIBERATE MURDER — DEUTERONOMY 19:11–13</w:t>
      </w:r>
    </w:p>
    <w:p>
      <w:pPr>
        <w:pStyle w:val="Heading2"/>
      </w:pPr>
      <w:r>
        <w:t>Deuteronomy 19:11 — hatred, ambush and murder</w:t>
      </w:r>
    </w:p>
    <w:p>
      <w:pPr/>
      <w:r>
        <w:rPr>
          <w:i w:val="0"/>
        </w:rPr>
        <w:t>A person who hates a neighbour, lies in wait and kills deliberately is outside the protection intended for accidental manslaughter.</w:t>
      </w:r>
    </w:p>
    <w:p>
      <w:pPr>
        <w:pStyle w:val="Heading2"/>
      </w:pPr>
      <w:r>
        <w:t>Deuteronomy 19:12 — elders and blood-avenger</w:t>
      </w:r>
    </w:p>
    <w:p>
      <w:pPr/>
      <w:r>
        <w:rPr>
          <w:i w:val="0"/>
        </w:rPr>
        <w:t>The murderer is removed from refuge through judicial action by the elders and delivered to the `go’el haddam` under the covenant penalty.</w:t>
      </w:r>
    </w:p>
    <w:p>
      <w:pPr/>
      <w:r>
        <w:rPr>
          <w:i w:val="0"/>
        </w:rPr>
        <w:t>This is not uncontrolled clan revenge; the case is distinguished judicially from accidental killing.</w:t>
      </w:r>
    </w:p>
    <w:p>
      <w:pPr>
        <w:pStyle w:val="Heading2"/>
      </w:pPr>
      <w:r>
        <w:t>Deuteronomy 19:13 — remove innocent bloodguilt</w:t>
      </w:r>
    </w:p>
    <w:p>
      <w:pPr/>
      <w:r>
        <w:rPr>
          <w:i w:val="0"/>
        </w:rPr>
        <w:t>Israel must not allow pity to nullify judgment for deliberate murder within this theocratic legal order.</w:t>
      </w:r>
    </w:p>
    <w:p>
      <w:pPr>
        <w:pStyle w:val="Heading1"/>
      </w:pPr>
      <w:r>
        <w:t>DO NOT MOVE THE LANDMARK — DEUTERONOMY 19:14</w:t>
      </w:r>
    </w:p>
    <w:p>
      <w:pPr>
        <w:pStyle w:val="Heading2"/>
      </w:pPr>
      <w:r>
        <w:t>Deuteronomy 19:14 — inherited boundary protected</w:t>
      </w:r>
    </w:p>
    <w:p>
      <w:pPr/>
      <w:r>
        <w:rPr>
          <w:i w:val="0"/>
        </w:rPr>
        <w:t>A neighbour’s boundary marker established by earlier allocation must not be moved.</w:t>
      </w:r>
    </w:p>
    <w:p>
      <w:pPr/>
      <w:r>
        <w:rPr>
          <w:i w:val="0"/>
        </w:rPr>
        <w:t>The law prohibits fraudulent expansion of one holding at another’s expense. Mansfield’s Gospel-boundary application is useful exhortation but secondary typology.</w:t>
      </w:r>
    </w:p>
    <w:p>
      <w:pPr>
        <w:pStyle w:val="Heading1"/>
      </w:pPr>
      <w:r>
        <w:t>TWO OR THREE WITNESSES — DEUTERONOMY 19:15</w:t>
      </w:r>
    </w:p>
    <w:p>
      <w:pPr>
        <w:pStyle w:val="Heading2"/>
      </w:pPr>
      <w:r>
        <w:t>Deuteronomy 19:15 — one witness insufficient</w:t>
      </w:r>
    </w:p>
    <w:p>
      <w:pPr/>
      <w:r>
        <w:rPr>
          <w:i w:val="0"/>
        </w:rPr>
        <w:t>No single witness can establish guilt in a serious matter; two or three witnesses are required.</w:t>
      </w:r>
    </w:p>
    <w:p>
      <w:pPr/>
      <w:r>
        <w:rPr>
          <w:i w:val="0"/>
        </w:rPr>
        <w:t>The principle is later cited in Matthew 18:16, 2 Corinthians 13:1 and 1 Timothy 5:19 in new settings.</w:t>
      </w:r>
    </w:p>
    <w:p>
      <w:pPr>
        <w:pStyle w:val="Heading1"/>
      </w:pPr>
      <w:r>
        <w:t>THE MALICIOUS FALSE WITNESS — DEUTERONOMY 19:16–20</w:t>
      </w:r>
    </w:p>
    <w:p>
      <w:pPr>
        <w:pStyle w:val="Heading2"/>
      </w:pPr>
      <w:r>
        <w:t>Deuteronomy 19:16–17 — both parties before Yahweh’s judges</w:t>
      </w:r>
    </w:p>
    <w:p>
      <w:pPr/>
      <w:r>
        <w:rPr>
          <w:i w:val="0"/>
        </w:rPr>
        <w:t>If a malicious witness accuses another falsely, both parties stand before Yahweh, the priests and judges then serving.</w:t>
      </w:r>
    </w:p>
    <w:p>
      <w:pPr>
        <w:pStyle w:val="Heading2"/>
      </w:pPr>
      <w:r>
        <w:t>Deuteronomy 19:18 — diligent investigation again</w:t>
      </w:r>
    </w:p>
    <w:p>
      <w:pPr/>
      <w:r>
        <w:rPr>
          <w:i w:val="0"/>
        </w:rPr>
        <w:t>The judges must make diligent inquiry. If the testimony is false, the witness is exposed as having attempted harm through the court itself.</w:t>
      </w:r>
    </w:p>
    <w:p>
      <w:pPr>
        <w:pStyle w:val="Heading2"/>
      </w:pPr>
      <w:r>
        <w:t>Deuteronomy 19:19–20 — intended penalty returns upon the liar</w:t>
      </w:r>
    </w:p>
    <w:p>
      <w:pPr/>
      <w:r>
        <w:rPr>
          <w:i w:val="0"/>
        </w:rPr>
        <w:t>The false witness receives the penalty he sought to impose upon his brother; evil is removed and Israel hears and fears.</w:t>
      </w:r>
    </w:p>
    <w:p>
      <w:pPr/>
      <w:r>
        <w:rPr>
          <w:i w:val="0"/>
        </w:rPr>
        <w:t>The rule makes perjury itself a serious assault on justice.</w:t>
      </w:r>
    </w:p>
    <w:p>
      <w:pPr>
        <w:pStyle w:val="Heading1"/>
      </w:pPr>
      <w:r>
        <w:t>LEX TALIONIS — DEUTERONOMY 19:21</w:t>
      </w:r>
    </w:p>
    <w:p>
      <w:pPr>
        <w:pStyle w:val="Heading2"/>
      </w:pPr>
      <w:r>
        <w:t>Deuteronomy 19:21 — life, eye, tooth, hand, foot</w:t>
      </w:r>
    </w:p>
    <w:p>
      <w:pPr/>
      <w:r>
        <w:rPr>
          <w:i w:val="0"/>
        </w:rPr>
        <w:t>“Life for life, eye for eye, tooth for tooth, hand for hand, foot for foot” expresses proportionate judicial equivalence.</w:t>
      </w:r>
    </w:p>
    <w:p>
      <w:pPr/>
      <w:r>
        <w:rPr>
          <w:i w:val="0"/>
        </w:rPr>
        <w:t>It is a limitation on punishment, not personal authorisation to exact revenge. Exodus 21 shows that related injury law can operate through assessed compensation in appropriate cases. Jesus in Matthew 5 rejects using the principle to justify personal retaliation.</w:t>
      </w:r>
    </w:p>
    <w:p>
      <w:pPr>
        <w:pStyle w:val="Heading1"/>
      </w:pPr>
      <w:r>
        <w:t>PRINCIPAL THEMES</w:t>
      </w:r>
    </w:p>
    <w:p>
      <w:pPr>
        <w:ind w:left="259" w:hanging="202"/>
      </w:pPr>
      <w:r>
        <w:rPr>
          <w:b/>
        </w:rPr>
        <w:t xml:space="preserve">• </w:t>
      </w:r>
      <w:r>
        <w:t>Refuge must be practically accessible, but detailed signpost/road customs come from later tradition rather than the verse itself.</w:t>
      </w:r>
    </w:p>
    <w:p>
      <w:pPr>
        <w:ind w:left="259" w:hanging="202"/>
      </w:pPr>
      <w:r>
        <w:rPr>
          <w:b/>
        </w:rPr>
        <w:t xml:space="preserve">• </w:t>
      </w:r>
      <w:r>
        <w:t>Unintentional killing is distinguished from murder by intent and prior hatred.</w:t>
      </w:r>
    </w:p>
    <w:p>
      <w:pPr>
        <w:ind w:left="259" w:hanging="202"/>
      </w:pPr>
      <w:r>
        <w:rPr>
          <w:b/>
        </w:rPr>
        <w:t xml:space="preserve">• </w:t>
      </w:r>
      <w:r>
        <w:t>The axe-head mechanics are not worth dogmatic reconstruction.</w:t>
      </w:r>
    </w:p>
    <w:p>
      <w:pPr>
        <w:ind w:left="259" w:hanging="202"/>
      </w:pPr>
      <w:r>
        <w:rPr>
          <w:b/>
        </w:rPr>
        <w:t xml:space="preserve">• </w:t>
      </w:r>
      <w:r>
        <w:t>The conditional three extra cities of verses 8–9 would be additional to the normal six-city arrangement.</w:t>
      </w:r>
    </w:p>
    <w:p>
      <w:pPr>
        <w:ind w:left="259" w:hanging="202"/>
      </w:pPr>
      <w:r>
        <w:rPr>
          <w:b/>
        </w:rPr>
        <w:t xml:space="preserve">• </w:t>
      </w:r>
      <w:r>
        <w:t>The blood-avenger functions within a judicial system, not as uncontrolled vengeance.</w:t>
      </w:r>
    </w:p>
    <w:p>
      <w:pPr>
        <w:ind w:left="259" w:hanging="202"/>
      </w:pPr>
      <w:r>
        <w:rPr>
          <w:b/>
        </w:rPr>
        <w:t xml:space="preserve">• </w:t>
      </w:r>
      <w:r>
        <w:t>Landmarks protect Divinely apportioned inheritance and ordinary property justice.</w:t>
      </w:r>
    </w:p>
    <w:p>
      <w:pPr>
        <w:ind w:left="259" w:hanging="202"/>
      </w:pPr>
      <w:r>
        <w:rPr>
          <w:b/>
        </w:rPr>
        <w:t xml:space="preserve">• </w:t>
      </w:r>
      <w:r>
        <w:t>One witness is insufficient; two or three establish a matter.</w:t>
      </w:r>
    </w:p>
    <w:p>
      <w:pPr>
        <w:ind w:left="259" w:hanging="202"/>
      </w:pPr>
      <w:r>
        <w:rPr>
          <w:b/>
        </w:rPr>
        <w:t xml:space="preserve">• </w:t>
      </w:r>
      <w:r>
        <w:t>False testimony receives the harm it sought to impose.</w:t>
      </w:r>
    </w:p>
    <w:p>
      <w:pPr>
        <w:ind w:left="259" w:hanging="202"/>
      </w:pPr>
      <w:r>
        <w:rPr>
          <w:b/>
        </w:rPr>
        <w:t xml:space="preserve">• </w:t>
      </w:r>
      <w:r>
        <w:t>Lex talionis establishes proportional judicial justice, not personal revenge.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19:2 / 4:41–43</w:t>
            </w:r>
          </w:p>
        </w:tc>
        <w:tc>
          <w:tcPr>
            <w:tcW w:type="dxa" w:w="3561"/>
            <w:vAlign w:val="top"/>
          </w:tcPr>
          <w:p>
            <w:pPr>
              <w:spacing w:after="0" w:line="223" w:lineRule="auto"/>
            </w:pPr>
            <w:r>
              <w:rPr>
                <w:rFonts w:ascii="Times New Roman" w:hAnsi="Times New Roman"/>
                <w:sz w:val="13"/>
              </w:rPr>
              <w:t>3 west + 3 east</w:t>
            </w:r>
          </w:p>
        </w:tc>
        <w:tc>
          <w:tcPr>
            <w:tcW w:type="dxa" w:w="3561"/>
            <w:vAlign w:val="top"/>
          </w:tcPr>
          <w:p>
            <w:pPr>
              <w:spacing w:after="0" w:line="223" w:lineRule="auto"/>
            </w:pPr>
            <w:r>
              <w:rPr>
                <w:rFonts w:ascii="Times New Roman" w:hAnsi="Times New Roman"/>
                <w:sz w:val="13"/>
              </w:rPr>
              <w:t>Normal six-city refuge arrangement.</w:t>
            </w:r>
          </w:p>
        </w:tc>
      </w:tr>
      <w:tr>
        <w:tc>
          <w:tcPr>
            <w:tcW w:type="dxa" w:w="3561"/>
            <w:vAlign w:val="top"/>
          </w:tcPr>
          <w:p>
            <w:pPr>
              <w:spacing w:after="0" w:line="223" w:lineRule="auto"/>
            </w:pPr>
            <w:r>
              <w:rPr>
                <w:rFonts w:ascii="Times New Roman" w:hAnsi="Times New Roman"/>
                <w:sz w:val="13"/>
              </w:rPr>
              <w:t>Deut. 19:3</w:t>
            </w:r>
          </w:p>
        </w:tc>
        <w:tc>
          <w:tcPr>
            <w:tcW w:type="dxa" w:w="3561"/>
            <w:vAlign w:val="top"/>
          </w:tcPr>
          <w:p>
            <w:pPr>
              <w:spacing w:after="0" w:line="223" w:lineRule="auto"/>
            </w:pPr>
            <w:r>
              <w:rPr>
                <w:rFonts w:ascii="Times New Roman" w:hAnsi="Times New Roman"/>
                <w:sz w:val="13"/>
              </w:rPr>
              <w:t>prepare way</w:t>
            </w:r>
          </w:p>
        </w:tc>
        <w:tc>
          <w:tcPr>
            <w:tcW w:type="dxa" w:w="3561"/>
            <w:vAlign w:val="top"/>
          </w:tcPr>
          <w:p>
            <w:pPr>
              <w:spacing w:after="0" w:line="223" w:lineRule="auto"/>
            </w:pPr>
            <w:r>
              <w:rPr>
                <w:rFonts w:ascii="Times New Roman" w:hAnsi="Times New Roman"/>
                <w:sz w:val="13"/>
              </w:rPr>
              <w:t>Practical accessibility; later signpost traditions not explicit.</w:t>
            </w:r>
          </w:p>
        </w:tc>
      </w:tr>
      <w:tr>
        <w:tc>
          <w:tcPr>
            <w:tcW w:type="dxa" w:w="3561"/>
            <w:vAlign w:val="top"/>
          </w:tcPr>
          <w:p>
            <w:pPr>
              <w:spacing w:after="0" w:line="223" w:lineRule="auto"/>
            </w:pPr>
            <w:r>
              <w:rPr>
                <w:rFonts w:ascii="Times New Roman" w:hAnsi="Times New Roman"/>
                <w:sz w:val="13"/>
              </w:rPr>
              <w:t>Deut. 19:4</w:t>
            </w:r>
          </w:p>
        </w:tc>
        <w:tc>
          <w:tcPr>
            <w:tcW w:type="dxa" w:w="3561"/>
            <w:vAlign w:val="top"/>
          </w:tcPr>
          <w:p>
            <w:pPr>
              <w:spacing w:after="0" w:line="223" w:lineRule="auto"/>
            </w:pPr>
            <w:r>
              <w:rPr>
                <w:rFonts w:ascii="Times New Roman" w:hAnsi="Times New Roman"/>
                <w:sz w:val="13"/>
              </w:rPr>
              <w:t>unintentional/no hatred</w:t>
            </w:r>
          </w:p>
        </w:tc>
        <w:tc>
          <w:tcPr>
            <w:tcW w:type="dxa" w:w="3561"/>
            <w:vAlign w:val="top"/>
          </w:tcPr>
          <w:p>
            <w:pPr>
              <w:spacing w:after="0" w:line="223" w:lineRule="auto"/>
            </w:pPr>
            <w:r>
              <w:rPr>
                <w:rFonts w:ascii="Times New Roman" w:hAnsi="Times New Roman"/>
                <w:sz w:val="13"/>
              </w:rPr>
              <w:t>Refuge criterion.</w:t>
            </w:r>
          </w:p>
        </w:tc>
      </w:tr>
      <w:tr>
        <w:tc>
          <w:tcPr>
            <w:tcW w:type="dxa" w:w="3561"/>
            <w:vAlign w:val="top"/>
          </w:tcPr>
          <w:p>
            <w:pPr>
              <w:spacing w:after="0" w:line="223" w:lineRule="auto"/>
            </w:pPr>
            <w:r>
              <w:rPr>
                <w:rFonts w:ascii="Times New Roman" w:hAnsi="Times New Roman"/>
                <w:sz w:val="13"/>
              </w:rPr>
              <w:t>Deut. 19:5</w:t>
            </w:r>
          </w:p>
        </w:tc>
        <w:tc>
          <w:tcPr>
            <w:tcW w:type="dxa" w:w="3561"/>
            <w:vAlign w:val="top"/>
          </w:tcPr>
          <w:p>
            <w:pPr>
              <w:spacing w:after="0" w:line="223" w:lineRule="auto"/>
            </w:pPr>
            <w:r>
              <w:rPr>
                <w:rFonts w:ascii="Times New Roman" w:hAnsi="Times New Roman"/>
                <w:sz w:val="13"/>
              </w:rPr>
              <w:t>axe iron flies from wood</w:t>
            </w:r>
          </w:p>
        </w:tc>
        <w:tc>
          <w:tcPr>
            <w:tcW w:type="dxa" w:w="3561"/>
            <w:vAlign w:val="top"/>
          </w:tcPr>
          <w:p>
            <w:pPr>
              <w:spacing w:after="0" w:line="223" w:lineRule="auto"/>
            </w:pPr>
            <w:r>
              <w:rPr>
                <w:rFonts w:ascii="Times New Roman" w:hAnsi="Times New Roman"/>
                <w:sz w:val="13"/>
              </w:rPr>
              <w:t>Axe-head reading natural; mechanics slightly debated.</w:t>
            </w:r>
          </w:p>
        </w:tc>
      </w:tr>
      <w:tr>
        <w:tc>
          <w:tcPr>
            <w:tcW w:type="dxa" w:w="3561"/>
            <w:vAlign w:val="top"/>
          </w:tcPr>
          <w:p>
            <w:pPr>
              <w:spacing w:after="0" w:line="223" w:lineRule="auto"/>
            </w:pPr>
            <w:r>
              <w:rPr>
                <w:rFonts w:ascii="Times New Roman" w:hAnsi="Times New Roman"/>
                <w:sz w:val="13"/>
              </w:rPr>
              <w:t>Deut. 19:6</w:t>
            </w:r>
          </w:p>
        </w:tc>
        <w:tc>
          <w:tcPr>
            <w:tcW w:type="dxa" w:w="3561"/>
            <w:vAlign w:val="top"/>
          </w:tcPr>
          <w:p>
            <w:pPr>
              <w:spacing w:after="0" w:line="223" w:lineRule="auto"/>
            </w:pPr>
            <w:r>
              <w:rPr>
                <w:rFonts w:ascii="Times New Roman" w:hAnsi="Times New Roman"/>
                <w:sz w:val="13"/>
              </w:rPr>
              <w:t>go’el haddam</w:t>
            </w:r>
          </w:p>
        </w:tc>
        <w:tc>
          <w:tcPr>
            <w:tcW w:type="dxa" w:w="3561"/>
            <w:vAlign w:val="top"/>
          </w:tcPr>
          <w:p>
            <w:pPr>
              <w:spacing w:after="0" w:line="223" w:lineRule="auto"/>
            </w:pPr>
            <w:r>
              <w:rPr>
                <w:rFonts w:ascii="Times New Roman" w:hAnsi="Times New Roman"/>
                <w:sz w:val="13"/>
              </w:rPr>
              <w:t>Blood-avenger/kinsman restrained by refuge process.</w:t>
            </w:r>
          </w:p>
        </w:tc>
      </w:tr>
      <w:tr>
        <w:tc>
          <w:tcPr>
            <w:tcW w:type="dxa" w:w="3561"/>
            <w:vAlign w:val="top"/>
          </w:tcPr>
          <w:p>
            <w:pPr>
              <w:spacing w:after="0" w:line="223" w:lineRule="auto"/>
            </w:pPr>
            <w:r>
              <w:rPr>
                <w:rFonts w:ascii="Times New Roman" w:hAnsi="Times New Roman"/>
                <w:sz w:val="13"/>
              </w:rPr>
              <w:t>Deut. 19:8–9</w:t>
            </w:r>
          </w:p>
        </w:tc>
        <w:tc>
          <w:tcPr>
            <w:tcW w:type="dxa" w:w="3561"/>
            <w:vAlign w:val="top"/>
          </w:tcPr>
          <w:p>
            <w:pPr>
              <w:spacing w:after="0" w:line="223" w:lineRule="auto"/>
            </w:pPr>
            <w:r>
              <w:rPr>
                <w:rFonts w:ascii="Times New Roman" w:hAnsi="Times New Roman"/>
                <w:sz w:val="13"/>
              </w:rPr>
              <w:t>add 3 more</w:t>
            </w:r>
          </w:p>
        </w:tc>
        <w:tc>
          <w:tcPr>
            <w:tcW w:type="dxa" w:w="3561"/>
            <w:vAlign w:val="top"/>
          </w:tcPr>
          <w:p>
            <w:pPr>
              <w:spacing w:after="0" w:line="223" w:lineRule="auto"/>
            </w:pPr>
            <w:r>
              <w:rPr>
                <w:rFonts w:ascii="Times New Roman" w:hAnsi="Times New Roman"/>
                <w:sz w:val="13"/>
              </w:rPr>
              <w:t>Conditional territorial enlargement; potentially 9 total.</w:t>
            </w:r>
          </w:p>
        </w:tc>
      </w:tr>
      <w:tr>
        <w:tc>
          <w:tcPr>
            <w:tcW w:type="dxa" w:w="3561"/>
            <w:vAlign w:val="top"/>
          </w:tcPr>
          <w:p>
            <w:pPr>
              <w:spacing w:after="0" w:line="223" w:lineRule="auto"/>
            </w:pPr>
            <w:r>
              <w:rPr>
                <w:rFonts w:ascii="Times New Roman" w:hAnsi="Times New Roman"/>
                <w:sz w:val="13"/>
              </w:rPr>
              <w:t>Deut. 19:10</w:t>
            </w:r>
          </w:p>
        </w:tc>
        <w:tc>
          <w:tcPr>
            <w:tcW w:type="dxa" w:w="3561"/>
            <w:vAlign w:val="top"/>
          </w:tcPr>
          <w:p>
            <w:pPr>
              <w:spacing w:after="0" w:line="223" w:lineRule="auto"/>
            </w:pPr>
            <w:r>
              <w:rPr>
                <w:rFonts w:ascii="Times New Roman" w:hAnsi="Times New Roman"/>
                <w:sz w:val="13"/>
              </w:rPr>
              <w:t>innocent blood</w:t>
            </w:r>
          </w:p>
        </w:tc>
        <w:tc>
          <w:tcPr>
            <w:tcW w:type="dxa" w:w="3561"/>
            <w:vAlign w:val="top"/>
          </w:tcPr>
          <w:p>
            <w:pPr>
              <w:spacing w:after="0" w:line="223" w:lineRule="auto"/>
            </w:pPr>
            <w:r>
              <w:rPr>
                <w:rFonts w:ascii="Times New Roman" w:hAnsi="Times New Roman"/>
                <w:sz w:val="13"/>
              </w:rPr>
              <w:t>Reason for expansion of refuge access.</w:t>
            </w:r>
          </w:p>
        </w:tc>
      </w:tr>
      <w:tr>
        <w:tc>
          <w:tcPr>
            <w:tcW w:type="dxa" w:w="3561"/>
            <w:vAlign w:val="top"/>
          </w:tcPr>
          <w:p>
            <w:pPr>
              <w:spacing w:after="0" w:line="223" w:lineRule="auto"/>
            </w:pPr>
            <w:r>
              <w:rPr>
                <w:rFonts w:ascii="Times New Roman" w:hAnsi="Times New Roman"/>
                <w:sz w:val="13"/>
              </w:rPr>
              <w:t>Deut. 19:11–13</w:t>
            </w:r>
          </w:p>
        </w:tc>
        <w:tc>
          <w:tcPr>
            <w:tcW w:type="dxa" w:w="3561"/>
            <w:vAlign w:val="top"/>
          </w:tcPr>
          <w:p>
            <w:pPr>
              <w:spacing w:after="0" w:line="223" w:lineRule="auto"/>
            </w:pPr>
            <w:r>
              <w:rPr>
                <w:rFonts w:ascii="Times New Roman" w:hAnsi="Times New Roman"/>
                <w:sz w:val="13"/>
              </w:rPr>
              <w:t>deliberate murderer</w:t>
            </w:r>
          </w:p>
        </w:tc>
        <w:tc>
          <w:tcPr>
            <w:tcW w:type="dxa" w:w="3561"/>
            <w:vAlign w:val="top"/>
          </w:tcPr>
          <w:p>
            <w:pPr>
              <w:spacing w:after="0" w:line="223" w:lineRule="auto"/>
            </w:pPr>
            <w:r>
              <w:rPr>
                <w:rFonts w:ascii="Times New Roman" w:hAnsi="Times New Roman"/>
                <w:sz w:val="13"/>
              </w:rPr>
              <w:t>No refuge after judicial determination.</w:t>
            </w:r>
          </w:p>
        </w:tc>
      </w:tr>
      <w:tr>
        <w:tc>
          <w:tcPr>
            <w:tcW w:type="dxa" w:w="3561"/>
            <w:vAlign w:val="top"/>
          </w:tcPr>
          <w:p>
            <w:pPr>
              <w:spacing w:after="0" w:line="223" w:lineRule="auto"/>
            </w:pPr>
            <w:r>
              <w:rPr>
                <w:rFonts w:ascii="Times New Roman" w:hAnsi="Times New Roman"/>
                <w:sz w:val="13"/>
              </w:rPr>
              <w:t>Deut. 19:14</w:t>
            </w:r>
          </w:p>
        </w:tc>
        <w:tc>
          <w:tcPr>
            <w:tcW w:type="dxa" w:w="3561"/>
            <w:vAlign w:val="top"/>
          </w:tcPr>
          <w:p>
            <w:pPr>
              <w:spacing w:after="0" w:line="223" w:lineRule="auto"/>
            </w:pPr>
            <w:r>
              <w:rPr>
                <w:rFonts w:ascii="Times New Roman" w:hAnsi="Times New Roman"/>
                <w:sz w:val="13"/>
              </w:rPr>
              <w:t>landmark</w:t>
            </w:r>
          </w:p>
        </w:tc>
        <w:tc>
          <w:tcPr>
            <w:tcW w:type="dxa" w:w="3561"/>
            <w:vAlign w:val="top"/>
          </w:tcPr>
          <w:p>
            <w:pPr>
              <w:spacing w:after="0" w:line="223" w:lineRule="auto"/>
            </w:pPr>
            <w:r>
              <w:rPr>
                <w:rFonts w:ascii="Times New Roman" w:hAnsi="Times New Roman"/>
                <w:sz w:val="13"/>
              </w:rPr>
              <w:t>Property/inheritance boundary protected.</w:t>
            </w:r>
          </w:p>
        </w:tc>
      </w:tr>
      <w:tr>
        <w:tc>
          <w:tcPr>
            <w:tcW w:type="dxa" w:w="3561"/>
            <w:vAlign w:val="top"/>
          </w:tcPr>
          <w:p>
            <w:pPr>
              <w:spacing w:after="0" w:line="223" w:lineRule="auto"/>
            </w:pPr>
            <w:r>
              <w:rPr>
                <w:rFonts w:ascii="Times New Roman" w:hAnsi="Times New Roman"/>
                <w:sz w:val="13"/>
              </w:rPr>
              <w:t>Deut. 19:15</w:t>
            </w:r>
          </w:p>
        </w:tc>
        <w:tc>
          <w:tcPr>
            <w:tcW w:type="dxa" w:w="3561"/>
            <w:vAlign w:val="top"/>
          </w:tcPr>
          <w:p>
            <w:pPr>
              <w:spacing w:after="0" w:line="223" w:lineRule="auto"/>
            </w:pPr>
            <w:r>
              <w:rPr>
                <w:rFonts w:ascii="Times New Roman" w:hAnsi="Times New Roman"/>
                <w:sz w:val="13"/>
              </w:rPr>
              <w:t>2 or 3 witnesses</w:t>
            </w:r>
          </w:p>
        </w:tc>
        <w:tc>
          <w:tcPr>
            <w:tcW w:type="dxa" w:w="3561"/>
            <w:vAlign w:val="top"/>
          </w:tcPr>
          <w:p>
            <w:pPr>
              <w:spacing w:after="0" w:line="223" w:lineRule="auto"/>
            </w:pPr>
            <w:r>
              <w:rPr>
                <w:rFonts w:ascii="Times New Roman" w:hAnsi="Times New Roman"/>
                <w:sz w:val="13"/>
              </w:rPr>
              <w:t>Corroboration required.</w:t>
            </w:r>
          </w:p>
        </w:tc>
      </w:tr>
      <w:tr>
        <w:tc>
          <w:tcPr>
            <w:tcW w:type="dxa" w:w="3561"/>
            <w:vAlign w:val="top"/>
          </w:tcPr>
          <w:p>
            <w:pPr>
              <w:spacing w:after="0" w:line="223" w:lineRule="auto"/>
            </w:pPr>
            <w:r>
              <w:rPr>
                <w:rFonts w:ascii="Times New Roman" w:hAnsi="Times New Roman"/>
                <w:sz w:val="13"/>
              </w:rPr>
              <w:t>Matt. 18:16; 2 Cor. 13:1</w:t>
            </w:r>
          </w:p>
        </w:tc>
        <w:tc>
          <w:tcPr>
            <w:tcW w:type="dxa" w:w="3561"/>
            <w:vAlign w:val="top"/>
          </w:tcPr>
          <w:p>
            <w:pPr>
              <w:spacing w:after="0" w:line="223" w:lineRule="auto"/>
            </w:pPr>
            <w:r>
              <w:rPr>
                <w:rFonts w:ascii="Times New Roman" w:hAnsi="Times New Roman"/>
                <w:sz w:val="13"/>
              </w:rPr>
              <w:t>witness principle reused</w:t>
            </w:r>
          </w:p>
        </w:tc>
        <w:tc>
          <w:tcPr>
            <w:tcW w:type="dxa" w:w="3561"/>
            <w:vAlign w:val="top"/>
          </w:tcPr>
          <w:p>
            <w:pPr>
              <w:spacing w:after="0" w:line="223" w:lineRule="auto"/>
            </w:pPr>
            <w:r>
              <w:rPr>
                <w:rFonts w:ascii="Times New Roman" w:hAnsi="Times New Roman"/>
                <w:sz w:val="13"/>
              </w:rPr>
              <w:t>Different covenant/community contexts.</w:t>
            </w:r>
          </w:p>
        </w:tc>
      </w:tr>
      <w:tr>
        <w:tc>
          <w:tcPr>
            <w:tcW w:type="dxa" w:w="3561"/>
            <w:vAlign w:val="top"/>
          </w:tcPr>
          <w:p>
            <w:pPr>
              <w:spacing w:after="0" w:line="223" w:lineRule="auto"/>
            </w:pPr>
            <w:r>
              <w:rPr>
                <w:rFonts w:ascii="Times New Roman" w:hAnsi="Times New Roman"/>
                <w:sz w:val="13"/>
              </w:rPr>
              <w:t>Deut. 19:18</w:t>
            </w:r>
          </w:p>
        </w:tc>
        <w:tc>
          <w:tcPr>
            <w:tcW w:type="dxa" w:w="3561"/>
            <w:vAlign w:val="top"/>
          </w:tcPr>
          <w:p>
            <w:pPr>
              <w:spacing w:after="0" w:line="223" w:lineRule="auto"/>
            </w:pPr>
            <w:r>
              <w:rPr>
                <w:rFonts w:ascii="Times New Roman" w:hAnsi="Times New Roman"/>
                <w:sz w:val="13"/>
              </w:rPr>
              <w:t>diligent inquiry</w:t>
            </w:r>
          </w:p>
        </w:tc>
        <w:tc>
          <w:tcPr>
            <w:tcW w:type="dxa" w:w="3561"/>
            <w:vAlign w:val="top"/>
          </w:tcPr>
          <w:p>
            <w:pPr>
              <w:spacing w:after="0" w:line="223" w:lineRule="auto"/>
            </w:pPr>
            <w:r>
              <w:rPr>
                <w:rFonts w:ascii="Times New Roman" w:hAnsi="Times New Roman"/>
                <w:sz w:val="13"/>
              </w:rPr>
              <w:t>False-witness case carefully tested.</w:t>
            </w:r>
          </w:p>
        </w:tc>
      </w:tr>
      <w:tr>
        <w:tc>
          <w:tcPr>
            <w:tcW w:type="dxa" w:w="3561"/>
            <w:vAlign w:val="top"/>
          </w:tcPr>
          <w:p>
            <w:pPr>
              <w:spacing w:after="0" w:line="223" w:lineRule="auto"/>
            </w:pPr>
            <w:r>
              <w:rPr>
                <w:rFonts w:ascii="Times New Roman" w:hAnsi="Times New Roman"/>
                <w:sz w:val="13"/>
              </w:rPr>
              <w:t>Deut. 19:19</w:t>
            </w:r>
          </w:p>
        </w:tc>
        <w:tc>
          <w:tcPr>
            <w:tcW w:type="dxa" w:w="3561"/>
            <w:vAlign w:val="top"/>
          </w:tcPr>
          <w:p>
            <w:pPr>
              <w:spacing w:after="0" w:line="223" w:lineRule="auto"/>
            </w:pPr>
            <w:r>
              <w:rPr>
                <w:rFonts w:ascii="Times New Roman" w:hAnsi="Times New Roman"/>
                <w:sz w:val="13"/>
              </w:rPr>
              <w:t>intended penalty</w:t>
            </w:r>
          </w:p>
        </w:tc>
        <w:tc>
          <w:tcPr>
            <w:tcW w:type="dxa" w:w="3561"/>
            <w:vAlign w:val="top"/>
          </w:tcPr>
          <w:p>
            <w:pPr>
              <w:spacing w:after="0" w:line="223" w:lineRule="auto"/>
            </w:pPr>
            <w:r>
              <w:rPr>
                <w:rFonts w:ascii="Times New Roman" w:hAnsi="Times New Roman"/>
                <w:sz w:val="13"/>
              </w:rPr>
              <w:t>Perjurer receives intended harm.</w:t>
            </w:r>
          </w:p>
        </w:tc>
      </w:tr>
      <w:tr>
        <w:tc>
          <w:tcPr>
            <w:tcW w:type="dxa" w:w="3561"/>
            <w:vAlign w:val="top"/>
          </w:tcPr>
          <w:p>
            <w:pPr>
              <w:spacing w:after="0" w:line="223" w:lineRule="auto"/>
            </w:pPr>
            <w:r>
              <w:rPr>
                <w:rFonts w:ascii="Times New Roman" w:hAnsi="Times New Roman"/>
                <w:sz w:val="13"/>
              </w:rPr>
              <w:t>Deut. 19:21</w:t>
            </w:r>
          </w:p>
        </w:tc>
        <w:tc>
          <w:tcPr>
            <w:tcW w:type="dxa" w:w="3561"/>
            <w:vAlign w:val="top"/>
          </w:tcPr>
          <w:p>
            <w:pPr>
              <w:spacing w:after="0" w:line="223" w:lineRule="auto"/>
            </w:pPr>
            <w:r>
              <w:rPr>
                <w:rFonts w:ascii="Times New Roman" w:hAnsi="Times New Roman"/>
                <w:sz w:val="13"/>
              </w:rPr>
              <w:t>lex talionis</w:t>
            </w:r>
          </w:p>
        </w:tc>
        <w:tc>
          <w:tcPr>
            <w:tcW w:type="dxa" w:w="3561"/>
            <w:vAlign w:val="top"/>
          </w:tcPr>
          <w:p>
            <w:pPr>
              <w:spacing w:after="0" w:line="223" w:lineRule="auto"/>
            </w:pPr>
            <w:r>
              <w:rPr>
                <w:rFonts w:ascii="Times New Roman" w:hAnsi="Times New Roman"/>
                <w:sz w:val="13"/>
              </w:rPr>
              <w:t>Proportionate judicial standard, not private revenge.</w:t>
            </w:r>
          </w:p>
        </w:tc>
      </w:tr>
    </w:tbl>
    <w:p>
      <w:pPr>
        <w:pStyle w:val="Heading1"/>
      </w:pPr>
      <w:r>
        <w:t>RESIDUAL UNCERTAINTIES</w:t>
      </w:r>
    </w:p>
    <w:p>
      <w:pPr/>
      <w:r>
        <w:rPr>
          <w:i w:val="0"/>
        </w:rPr>
        <w:t>The precise physical route provisions behind “prepare the way,” the axe-head wording, and the historical circumstances in which the conditional extra three cities would have been required are debated. The legal distinction between accident, malice and false testimony is nevertheless explicit.</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19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