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20</w:t>
      </w:r>
    </w:p>
    <w:p>
      <w:pPr>
        <w:pStyle w:val="Subtitle"/>
      </w:pPr>
      <w:r>
        <w:t>THE FIGHT OF FAITH • PRIESTLY EXHORTATION BEFORE BATTLE • HUMANE EXEMPTIONS • FEAR CAN SPREAD • PEACE TO DISTANT CITIES • CANAANITE WAR DISTINGUISHED • DO NOT DESTROY FRUIT TREES</w:t>
      </w:r>
    </w:p>
    <w:p>
      <w:pPr/>
      <w:r>
        <w:rPr>
          <w:i/>
        </w:rPr>
        <w:t>H. P. Mansfield Bible notes — checked and arranged in verse-by-verse Expositor style</w:t>
      </w:r>
    </w:p>
    <w:p>
      <w:pPr/>
      <w:r>
        <w:rPr>
          <w:i w:val="0"/>
        </w:rPr>
        <w:t>Source: HPB 04-Deu01-Jud04.PDF pp. 32–33; cross-checked with Mansfield’s Deuteronomy Expositor Chapter 20.</w:t>
      </w:r>
    </w:p>
    <w:p>
      <w:pPr>
        <w:pStyle w:val="Heading1"/>
      </w:pPr>
      <w:r>
        <w:t>CHAPTER OVERVIEW</w:t>
      </w:r>
    </w:p>
    <w:p>
      <w:pPr/>
      <w:r>
        <w:rPr>
          <w:i w:val="0"/>
        </w:rPr>
        <w:t>Deuteronomy 20 places Israelite warfare under covenant discipline. Israel must not trust horses, chariots or numbers but Yahweh who redeemed it from Egypt. At the same time the chapter regulates who fights, how distant cities are approached, how the special Canaanite judgment differs, and what may be destroyed in siege.</w:t>
      </w:r>
    </w:p>
    <w:p>
      <w:pPr/>
      <w:r>
        <w:rPr>
          <w:i w:val="0"/>
        </w:rPr>
        <w:t>The chapter therefore does not teach indiscriminate holy war. Its commands distinguish specific categories and restrain needless destruction even within ancient warfare.</w:t>
      </w:r>
    </w:p>
    <w:p>
      <w:pPr>
        <w:pStyle w:val="Heading1"/>
      </w:pPr>
      <w:r>
        <w:t>COURAGE GROUNDED IN YAHWEH — DEUTERONOMY 20:1–4</w:t>
      </w:r>
    </w:p>
    <w:p>
      <w:pPr>
        <w:pStyle w:val="Heading2"/>
      </w:pPr>
      <w:r>
        <w:t>Deuteronomy 20:1 — horses, chariots and greater numbers</w:t>
      </w:r>
    </w:p>
    <w:p>
      <w:pPr/>
      <w:r>
        <w:rPr>
          <w:i w:val="0"/>
        </w:rPr>
        <w:t>Israel must not fear military superiority because Yahweh, who brought the nation from Egypt, is with them.</w:t>
      </w:r>
    </w:p>
    <w:p>
      <w:pPr/>
      <w:r>
        <w:rPr>
          <w:i w:val="0"/>
        </w:rPr>
        <w:t>Confidence is grounded in redemption and Divine presence, not in Israelite invulnerability apart from obedience.</w:t>
      </w:r>
    </w:p>
    <w:p>
      <w:pPr>
        <w:pStyle w:val="Heading2"/>
      </w:pPr>
      <w:r>
        <w:t>Deuteronomy 20:2–4 — the priest addresses the army</w:t>
      </w:r>
    </w:p>
    <w:p>
      <w:pPr/>
      <w:r>
        <w:rPr>
          <w:i w:val="0"/>
        </w:rPr>
        <w:t>Before battle a priest exhorts Israel not to let the heart faint, fear, panic or dread because Yahweh goes with them to fight and save.</w:t>
      </w:r>
    </w:p>
    <w:p>
      <w:pPr/>
      <w:r>
        <w:rPr>
          <w:i w:val="0"/>
        </w:rPr>
        <w:t>The Torah does not call this priest “the Anointed of War”; that is later rabbinic terminology and should not be presented as the biblical title.</w:t>
      </w:r>
    </w:p>
    <w:p>
      <w:pPr>
        <w:pStyle w:val="Heading1"/>
      </w:pPr>
      <w:r>
        <w:t>EXEMPTIONS FROM BATTLE — DEUTERONOMY 20:5–9</w:t>
      </w:r>
    </w:p>
    <w:p>
      <w:pPr>
        <w:pStyle w:val="Heading2"/>
      </w:pPr>
      <w:r>
        <w:t>Deuteronomy 20:5 — new house not yet dedicated</w:t>
      </w:r>
    </w:p>
    <w:p>
      <w:pPr/>
      <w:r>
        <w:rPr>
          <w:i w:val="0"/>
        </w:rPr>
        <w:t>A man who built a house and has not dedicated/begun using it may return lest he die and another enjoy it.</w:t>
      </w:r>
    </w:p>
    <w:p>
      <w:pPr/>
      <w:r>
        <w:rPr>
          <w:i w:val="0"/>
        </w:rPr>
        <w:t>`Chanak` can mean dedicate/initiate. The verse does not describe a required religious house-dedication ceremony, so Mansfield’s reconstruction of an unrecorded ceremony should remain speculative.</w:t>
      </w:r>
    </w:p>
    <w:p>
      <w:pPr>
        <w:pStyle w:val="Heading2"/>
      </w:pPr>
      <w:r>
        <w:t>Deuteronomy 20:6 — vineyard not yet enjoyed</w:t>
      </w:r>
    </w:p>
    <w:p>
      <w:pPr/>
      <w:r>
        <w:rPr>
          <w:i w:val="0"/>
        </w:rPr>
        <w:t>A man who planted a vineyard and has not yet `chillelo`—begun to enjoy/use its fruit, literally profaned/made common in the agricultural-law sense—may return.</w:t>
      </w:r>
    </w:p>
    <w:p>
      <w:pPr/>
      <w:r>
        <w:rPr>
          <w:i w:val="0"/>
        </w:rPr>
        <w:t>Leviticus 19:23–25 supplies the background: early fruit is restricted, the fourth year is holy praise, and from the fifth year fruit becomes ordinary use.</w:t>
      </w:r>
    </w:p>
    <w:p>
      <w:pPr>
        <w:pStyle w:val="Heading2"/>
      </w:pPr>
      <w:r>
        <w:t>Deuteronomy 20:7 — betrothed but not yet married</w:t>
      </w:r>
    </w:p>
    <w:p>
      <w:pPr/>
      <w:r>
        <w:rPr>
          <w:i w:val="0"/>
        </w:rPr>
        <w:t>A man betrothed to a woman but who has not taken/married her may return.</w:t>
      </w:r>
    </w:p>
    <w:p>
      <w:pPr/>
      <w:r>
        <w:rPr>
          <w:i w:val="0"/>
        </w:rPr>
        <w:t>Deuteronomy 24:5 separately grants a newly married man one year free from public duty. That later one-year provision should not be retrojected as the exact duration of the betrothed man’s exemption here.</w:t>
      </w:r>
    </w:p>
    <w:p>
      <w:pPr>
        <w:pStyle w:val="Heading2"/>
      </w:pPr>
      <w:r>
        <w:t>Deuteronomy 20:8 — fearful and fainthearted</w:t>
      </w:r>
    </w:p>
    <w:p>
      <w:pPr/>
      <w:r>
        <w:rPr>
          <w:i w:val="0"/>
        </w:rPr>
        <w:t>The fearful man is sent home lest his heart melt his brethren’s heart.</w:t>
      </w:r>
    </w:p>
    <w:p>
      <w:pPr/>
      <w:r>
        <w:rPr>
          <w:i w:val="0"/>
        </w:rPr>
        <w:t>The concern is both individual unreadiness and contagious fear.</w:t>
      </w:r>
    </w:p>
    <w:p>
      <w:pPr>
        <w:pStyle w:val="Heading2"/>
      </w:pPr>
      <w:r>
        <w:t>Deuteronomy 20:9 — captains appointed</w:t>
      </w:r>
    </w:p>
    <w:p>
      <w:pPr/>
      <w:r>
        <w:rPr>
          <w:i w:val="0"/>
        </w:rPr>
        <w:t>After exemptions are announced, officers arrange commanders over the people.</w:t>
      </w:r>
    </w:p>
    <w:p>
      <w:pPr>
        <w:pStyle w:val="Heading1"/>
      </w:pPr>
      <w:r>
        <w:t>DISTANT CITIES: PEACE OFFERED FIRST — DEUTERONOMY 20:10–15</w:t>
      </w:r>
    </w:p>
    <w:p>
      <w:pPr>
        <w:pStyle w:val="Heading2"/>
      </w:pPr>
      <w:r>
        <w:t>Deuteronomy 20:10 — proclaim peace</w:t>
      </w:r>
    </w:p>
    <w:p>
      <w:pPr/>
      <w:r>
        <w:rPr>
          <w:i w:val="0"/>
        </w:rPr>
        <w:t>When approaching a city in the category later identified as “very far off,” Israel first offers terms of peace.</w:t>
      </w:r>
    </w:p>
    <w:p>
      <w:pPr>
        <w:pStyle w:val="Heading2"/>
      </w:pPr>
      <w:r>
        <w:t>Deuteronomy 20:11 — tributary labour if peace accepted</w:t>
      </w:r>
    </w:p>
    <w:p>
      <w:pPr/>
      <w:r>
        <w:rPr>
          <w:i w:val="0"/>
        </w:rPr>
        <w:t>If the city accepts and opens, its population becomes `mas`, tributary/forced labour, and serves Israel.</w:t>
      </w:r>
    </w:p>
    <w:p>
      <w:pPr/>
      <w:r>
        <w:rPr>
          <w:i w:val="0"/>
        </w:rPr>
        <w:t>The text does not say peace was conditional upon conversion, circumcision or formal acceptance of the Mosaic covenant. Mansfield’s assertion that those were the peace terms is unsupported.</w:t>
      </w:r>
    </w:p>
    <w:p>
      <w:pPr>
        <w:pStyle w:val="Heading2"/>
      </w:pPr>
      <w:r>
        <w:t>Deuteronomy 20:12–14 — if peace refused</w:t>
      </w:r>
    </w:p>
    <w:p>
      <w:pPr/>
      <w:r>
        <w:rPr>
          <w:i w:val="0"/>
        </w:rPr>
        <w:t>If the city refuses peace and makes war, Israel besieges it; after victory the adult males are killed, while women, children, livestock and spoil are taken.</w:t>
      </w:r>
    </w:p>
    <w:p>
      <w:pPr/>
      <w:r>
        <w:rPr>
          <w:i w:val="0"/>
        </w:rPr>
        <w:t>This remains severe ancient warfare legislation and should not be sanitised. It is also distinct from the total `cherem` ordered for specified Canaanite cities.</w:t>
      </w:r>
    </w:p>
    <w:p>
      <w:pPr>
        <w:pStyle w:val="Heading2"/>
      </w:pPr>
      <w:r>
        <w:t>Deuteronomy 20:15 — “very far off”</w:t>
      </w:r>
    </w:p>
    <w:p>
      <w:pPr/>
      <w:r>
        <w:rPr>
          <w:i w:val="0"/>
        </w:rPr>
        <w:t>The preceding distant-city procedure applies to cities not belonging to the named Canaanite nations of the land.</w:t>
      </w:r>
    </w:p>
    <w:p>
      <w:pPr>
        <w:pStyle w:val="Heading1"/>
      </w:pPr>
      <w:r>
        <w:t>THE SPECIFIC CANAANITE JUDGMENT — DEUTERONOMY 20:16–18</w:t>
      </w:r>
    </w:p>
    <w:p>
      <w:pPr>
        <w:pStyle w:val="Heading2"/>
      </w:pPr>
      <w:r>
        <w:t>Deuteronomy 20:16–17 — `cherem` of the named peoples</w:t>
      </w:r>
    </w:p>
    <w:p>
      <w:pPr/>
      <w:r>
        <w:rPr>
          <w:i w:val="0"/>
        </w:rPr>
        <w:t>In the cities Yahweh gives as inheritance, the named Hittite, Amorite, Canaanite, Perizzite, Hivite and Jebusite populations come under the special devoted-destruction command.</w:t>
      </w:r>
    </w:p>
    <w:p>
      <w:pPr/>
      <w:r>
        <w:rPr>
          <w:i w:val="0"/>
        </w:rPr>
        <w:t>The list here has six names rather than Deuteronomy 7’s seven; Girgashites are omitted without explanation.</w:t>
      </w:r>
    </w:p>
    <w:p>
      <w:pPr>
        <w:pStyle w:val="Heading2"/>
      </w:pPr>
      <w:r>
        <w:t>Deuteronomy 20:18 — stated religious rationale</w:t>
      </w:r>
    </w:p>
    <w:p>
      <w:pPr/>
      <w:r>
        <w:rPr>
          <w:i w:val="0"/>
        </w:rPr>
        <w:t>The explicit purpose is that surviving Canaanite cult communities not teach Israel their abominations and turn Israel into sin against Yahweh.</w:t>
      </w:r>
    </w:p>
    <w:p>
      <w:pPr/>
      <w:r>
        <w:rPr>
          <w:i w:val="0"/>
        </w:rPr>
        <w:t>This is a historically specific theocratic judgment, not authority for later believers or states to exterminate religious opponents.</w:t>
      </w:r>
    </w:p>
    <w:p>
      <w:pPr>
        <w:pStyle w:val="Heading1"/>
      </w:pPr>
      <w:r>
        <w:t>TREES DURING A SIEGE — DEUTERONOMY 20:19–20</w:t>
      </w:r>
    </w:p>
    <w:p>
      <w:pPr>
        <w:pStyle w:val="Heading2"/>
      </w:pPr>
      <w:r>
        <w:t>Deuteronomy 20:19 — preserve food trees</w:t>
      </w:r>
    </w:p>
    <w:p>
      <w:pPr/>
      <w:r>
        <w:rPr>
          <w:i w:val="0"/>
        </w:rPr>
        <w:t>During a prolonged siege Israel must not destroy fruit-bearing trees merely for siege works; their fruit remains food.</w:t>
      </w:r>
    </w:p>
    <w:p>
      <w:pPr/>
      <w:r>
        <w:rPr>
          <w:i w:val="0"/>
        </w:rPr>
        <w:t>The familiar KJV wording “for the tree of the field is man’s life” reflects one construal of difficult Hebrew syntax.</w:t>
      </w:r>
    </w:p>
    <w:p>
      <w:pPr>
        <w:pStyle w:val="Heading2"/>
      </w:pPr>
      <w:r>
        <w:t>Deuteronomy 20:19 — difficult rhetorical clause</w:t>
      </w:r>
    </w:p>
    <w:p>
      <w:pPr/>
      <w:r>
        <w:rPr>
          <w:i w:val="0"/>
        </w:rPr>
        <w:t>The Hebrew phrase can also be read as a rhetorical question: “Is the tree of the field a man, that it should be besieged by thee?” Modern translations differ.</w:t>
      </w:r>
    </w:p>
    <w:p>
      <w:pPr/>
      <w:r>
        <w:rPr>
          <w:i w:val="0"/>
        </w:rPr>
        <w:t>Whatever the syntax, the practical command is clear: food-producing trees are not to be wantonly felled.</w:t>
      </w:r>
    </w:p>
    <w:p>
      <w:pPr>
        <w:pStyle w:val="Heading2"/>
      </w:pPr>
      <w:r>
        <w:t>Deuteronomy 20:20 — non-food trees may be used</w:t>
      </w:r>
    </w:p>
    <w:p>
      <w:pPr/>
      <w:r>
        <w:rPr>
          <w:i w:val="0"/>
        </w:rPr>
        <w:t>Trees known not to produce food may be cut for siege works until the hostile city falls.</w:t>
      </w:r>
    </w:p>
    <w:p>
      <w:pPr/>
      <w:r>
        <w:rPr>
          <w:i w:val="0"/>
        </w:rPr>
        <w:t>The law therefore restrains environmental and economic destruction without forbidding all use of timber in war.</w:t>
      </w:r>
    </w:p>
    <w:p>
      <w:pPr>
        <w:pStyle w:val="Heading1"/>
      </w:pPr>
      <w:r>
        <w:t>PRINCIPAL THEMES</w:t>
      </w:r>
    </w:p>
    <w:p>
      <w:pPr>
        <w:ind w:left="259" w:hanging="202"/>
      </w:pPr>
      <w:r>
        <w:rPr>
          <w:b/>
        </w:rPr>
        <w:t xml:space="preserve">• </w:t>
      </w:r>
      <w:r>
        <w:t>Israelite military confidence is to rest on Yahweh, not superior weaponry.</w:t>
      </w:r>
    </w:p>
    <w:p>
      <w:pPr>
        <w:ind w:left="259" w:hanging="202"/>
      </w:pPr>
      <w:r>
        <w:rPr>
          <w:b/>
        </w:rPr>
        <w:t xml:space="preserve">• </w:t>
      </w:r>
      <w:r>
        <w:t>The “Anointed of War” title is later rabbinic terminology, not Deuteronomy’s wording.</w:t>
      </w:r>
    </w:p>
    <w:p>
      <w:pPr>
        <w:ind w:left="259" w:hanging="202"/>
      </w:pPr>
      <w:r>
        <w:rPr>
          <w:b/>
        </w:rPr>
        <w:t xml:space="preserve">• </w:t>
      </w:r>
      <w:r>
        <w:t>House dedication is mentioned, but no specific religious ceremony is described.</w:t>
      </w:r>
    </w:p>
    <w:p>
      <w:pPr>
        <w:ind w:left="259" w:hanging="202"/>
      </w:pPr>
      <w:r>
        <w:rPr>
          <w:b/>
        </w:rPr>
        <w:t xml:space="preserve">• </w:t>
      </w:r>
      <w:r>
        <w:t>Vineyard enjoyment should be read with Leviticus 19’s fruit-law background.</w:t>
      </w:r>
    </w:p>
    <w:p>
      <w:pPr>
        <w:ind w:left="259" w:hanging="202"/>
      </w:pPr>
      <w:r>
        <w:rPr>
          <w:b/>
        </w:rPr>
        <w:t xml:space="preserve">• </w:t>
      </w:r>
      <w:r>
        <w:t>The betrothed-war exemption is distinct from Deuteronomy 24’s one-year newlywed exemption.</w:t>
      </w:r>
    </w:p>
    <w:p>
      <w:pPr>
        <w:ind w:left="259" w:hanging="202"/>
      </w:pPr>
      <w:r>
        <w:rPr>
          <w:b/>
        </w:rPr>
        <w:t xml:space="preserve">• </w:t>
      </w:r>
      <w:r>
        <w:t>Fear is treated as contagious and militarily destructive.</w:t>
      </w:r>
    </w:p>
    <w:p>
      <w:pPr>
        <w:ind w:left="259" w:hanging="202"/>
      </w:pPr>
      <w:r>
        <w:rPr>
          <w:b/>
        </w:rPr>
        <w:t xml:space="preserve">• </w:t>
      </w:r>
      <w:r>
        <w:t>Distant-city peace terms do not state conversion or circumcision as prerequisites.</w:t>
      </w:r>
    </w:p>
    <w:p>
      <w:pPr>
        <w:ind w:left="259" w:hanging="202"/>
      </w:pPr>
      <w:r>
        <w:rPr>
          <w:b/>
        </w:rPr>
        <w:t xml:space="preserve">• </w:t>
      </w:r>
      <w:r>
        <w:t>The distant-city rules and Canaanite `cherem` rules are explicitly different.</w:t>
      </w:r>
    </w:p>
    <w:p>
      <w:pPr>
        <w:ind w:left="259" w:hanging="202"/>
      </w:pPr>
      <w:r>
        <w:rPr>
          <w:b/>
        </w:rPr>
        <w:t xml:space="preserve">• </w:t>
      </w:r>
      <w:r>
        <w:t>The Canaanite command is historically bounded and cannot be universalised.</w:t>
      </w:r>
    </w:p>
    <w:p>
      <w:pPr>
        <w:ind w:left="259" w:hanging="202"/>
      </w:pPr>
      <w:r>
        <w:rPr>
          <w:b/>
        </w:rPr>
        <w:t xml:space="preserve">• </w:t>
      </w:r>
      <w:r>
        <w:t>Deuteronomy 20:19’s tree/man syntax is difficult, but preservation of fruit trees is certain.</w:t>
      </w:r>
    </w:p>
    <w:p>
      <w:pPr>
        <w:ind w:left="259" w:hanging="202"/>
      </w:pPr>
      <w:r>
        <w:rPr>
          <w:b/>
        </w:rPr>
        <w:t xml:space="preserve">• </w:t>
      </w:r>
      <w:r>
        <w:t>Non-food trees may be used for necessary siege works.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20:1</w:t>
            </w:r>
          </w:p>
        </w:tc>
        <w:tc>
          <w:tcPr>
            <w:tcW w:type="dxa" w:w="3561"/>
            <w:vAlign w:val="top"/>
          </w:tcPr>
          <w:p>
            <w:pPr>
              <w:spacing w:after="0" w:line="223" w:lineRule="auto"/>
            </w:pPr>
            <w:r>
              <w:rPr>
                <w:rFonts w:ascii="Times New Roman" w:hAnsi="Times New Roman"/>
                <w:sz w:val="13"/>
              </w:rPr>
              <w:t>horses/chariots/numbers</w:t>
            </w:r>
          </w:p>
        </w:tc>
        <w:tc>
          <w:tcPr>
            <w:tcW w:type="dxa" w:w="3561"/>
            <w:vAlign w:val="top"/>
          </w:tcPr>
          <w:p>
            <w:pPr>
              <w:spacing w:after="0" w:line="223" w:lineRule="auto"/>
            </w:pPr>
            <w:r>
              <w:rPr>
                <w:rFonts w:ascii="Times New Roman" w:hAnsi="Times New Roman"/>
                <w:sz w:val="13"/>
              </w:rPr>
              <w:t>Do not fear; Yahweh who redeemed Israel is present.</w:t>
            </w:r>
          </w:p>
        </w:tc>
      </w:tr>
      <w:tr>
        <w:tc>
          <w:tcPr>
            <w:tcW w:type="dxa" w:w="3561"/>
            <w:vAlign w:val="top"/>
          </w:tcPr>
          <w:p>
            <w:pPr>
              <w:spacing w:after="0" w:line="223" w:lineRule="auto"/>
            </w:pPr>
            <w:r>
              <w:rPr>
                <w:rFonts w:ascii="Times New Roman" w:hAnsi="Times New Roman"/>
                <w:sz w:val="13"/>
              </w:rPr>
              <w:t>Deut. 20:2–4</w:t>
            </w:r>
          </w:p>
        </w:tc>
        <w:tc>
          <w:tcPr>
            <w:tcW w:type="dxa" w:w="3561"/>
            <w:vAlign w:val="top"/>
          </w:tcPr>
          <w:p>
            <w:pPr>
              <w:spacing w:after="0" w:line="223" w:lineRule="auto"/>
            </w:pPr>
            <w:r>
              <w:rPr>
                <w:rFonts w:ascii="Times New Roman" w:hAnsi="Times New Roman"/>
                <w:sz w:val="13"/>
              </w:rPr>
              <w:t>priestly exhortation</w:t>
            </w:r>
          </w:p>
        </w:tc>
        <w:tc>
          <w:tcPr>
            <w:tcW w:type="dxa" w:w="3561"/>
            <w:vAlign w:val="top"/>
          </w:tcPr>
          <w:p>
            <w:pPr>
              <w:spacing w:after="0" w:line="223" w:lineRule="auto"/>
            </w:pPr>
            <w:r>
              <w:rPr>
                <w:rFonts w:ascii="Times New Roman" w:hAnsi="Times New Roman"/>
                <w:sz w:val="13"/>
              </w:rPr>
              <w:t>Biblical text does not title him ‘Anointed of War’.</w:t>
            </w:r>
          </w:p>
        </w:tc>
      </w:tr>
      <w:tr>
        <w:tc>
          <w:tcPr>
            <w:tcW w:type="dxa" w:w="3561"/>
            <w:vAlign w:val="top"/>
          </w:tcPr>
          <w:p>
            <w:pPr>
              <w:spacing w:after="0" w:line="223" w:lineRule="auto"/>
            </w:pPr>
            <w:r>
              <w:rPr>
                <w:rFonts w:ascii="Times New Roman" w:hAnsi="Times New Roman"/>
                <w:sz w:val="13"/>
              </w:rPr>
              <w:t>Deut. 20:5</w:t>
            </w:r>
          </w:p>
        </w:tc>
        <w:tc>
          <w:tcPr>
            <w:tcW w:type="dxa" w:w="3561"/>
            <w:vAlign w:val="top"/>
          </w:tcPr>
          <w:p>
            <w:pPr>
              <w:spacing w:after="0" w:line="223" w:lineRule="auto"/>
            </w:pPr>
            <w:r>
              <w:rPr>
                <w:rFonts w:ascii="Times New Roman" w:hAnsi="Times New Roman"/>
                <w:sz w:val="13"/>
              </w:rPr>
              <w:t>chanak house</w:t>
            </w:r>
          </w:p>
        </w:tc>
        <w:tc>
          <w:tcPr>
            <w:tcW w:type="dxa" w:w="3561"/>
            <w:vAlign w:val="top"/>
          </w:tcPr>
          <w:p>
            <w:pPr>
              <w:spacing w:after="0" w:line="223" w:lineRule="auto"/>
            </w:pPr>
            <w:r>
              <w:rPr>
                <w:rFonts w:ascii="Times New Roman" w:hAnsi="Times New Roman"/>
                <w:sz w:val="13"/>
              </w:rPr>
              <w:t>Dedicate/initiate; specific religious ceremony unstated.</w:t>
            </w:r>
          </w:p>
        </w:tc>
      </w:tr>
      <w:tr>
        <w:tc>
          <w:tcPr>
            <w:tcW w:type="dxa" w:w="3561"/>
            <w:vAlign w:val="top"/>
          </w:tcPr>
          <w:p>
            <w:pPr>
              <w:spacing w:after="0" w:line="223" w:lineRule="auto"/>
            </w:pPr>
            <w:r>
              <w:rPr>
                <w:rFonts w:ascii="Times New Roman" w:hAnsi="Times New Roman"/>
                <w:sz w:val="13"/>
              </w:rPr>
              <w:t>Deut. 20:6</w:t>
            </w:r>
          </w:p>
        </w:tc>
        <w:tc>
          <w:tcPr>
            <w:tcW w:type="dxa" w:w="3561"/>
            <w:vAlign w:val="top"/>
          </w:tcPr>
          <w:p>
            <w:pPr>
              <w:spacing w:after="0" w:line="223" w:lineRule="auto"/>
            </w:pPr>
            <w:r>
              <w:rPr>
                <w:rFonts w:ascii="Times New Roman" w:hAnsi="Times New Roman"/>
                <w:sz w:val="13"/>
              </w:rPr>
              <w:t>chillelo vineyard</w:t>
            </w:r>
          </w:p>
        </w:tc>
        <w:tc>
          <w:tcPr>
            <w:tcW w:type="dxa" w:w="3561"/>
            <w:vAlign w:val="top"/>
          </w:tcPr>
          <w:p>
            <w:pPr>
              <w:spacing w:after="0" w:line="223" w:lineRule="auto"/>
            </w:pPr>
            <w:r>
              <w:rPr>
                <w:rFonts w:ascii="Times New Roman" w:hAnsi="Times New Roman"/>
                <w:sz w:val="13"/>
              </w:rPr>
              <w:t>Begin common enjoyment; compare Lev. 19:23–25.</w:t>
            </w:r>
          </w:p>
        </w:tc>
      </w:tr>
      <w:tr>
        <w:tc>
          <w:tcPr>
            <w:tcW w:type="dxa" w:w="3561"/>
            <w:vAlign w:val="top"/>
          </w:tcPr>
          <w:p>
            <w:pPr>
              <w:spacing w:after="0" w:line="223" w:lineRule="auto"/>
            </w:pPr>
            <w:r>
              <w:rPr>
                <w:rFonts w:ascii="Times New Roman" w:hAnsi="Times New Roman"/>
                <w:sz w:val="13"/>
              </w:rPr>
              <w:t>Deut. 20:7 / 24:5</w:t>
            </w:r>
          </w:p>
        </w:tc>
        <w:tc>
          <w:tcPr>
            <w:tcW w:type="dxa" w:w="3561"/>
            <w:vAlign w:val="top"/>
          </w:tcPr>
          <w:p>
            <w:pPr>
              <w:spacing w:after="0" w:line="223" w:lineRule="auto"/>
            </w:pPr>
            <w:r>
              <w:rPr>
                <w:rFonts w:ascii="Times New Roman" w:hAnsi="Times New Roman"/>
                <w:sz w:val="13"/>
              </w:rPr>
              <w:t>betrothed vs newly married</w:t>
            </w:r>
          </w:p>
        </w:tc>
        <w:tc>
          <w:tcPr>
            <w:tcW w:type="dxa" w:w="3561"/>
            <w:vAlign w:val="top"/>
          </w:tcPr>
          <w:p>
            <w:pPr>
              <w:spacing w:after="0" w:line="223" w:lineRule="auto"/>
            </w:pPr>
            <w:r>
              <w:rPr>
                <w:rFonts w:ascii="Times New Roman" w:hAnsi="Times New Roman"/>
                <w:sz w:val="13"/>
              </w:rPr>
              <w:t>Do not impose later one-year rule onto v.7.</w:t>
            </w:r>
          </w:p>
        </w:tc>
      </w:tr>
      <w:tr>
        <w:tc>
          <w:tcPr>
            <w:tcW w:type="dxa" w:w="3561"/>
            <w:vAlign w:val="top"/>
          </w:tcPr>
          <w:p>
            <w:pPr>
              <w:spacing w:after="0" w:line="223" w:lineRule="auto"/>
            </w:pPr>
            <w:r>
              <w:rPr>
                <w:rFonts w:ascii="Times New Roman" w:hAnsi="Times New Roman"/>
                <w:sz w:val="13"/>
              </w:rPr>
              <w:t>Deut. 20:8</w:t>
            </w:r>
          </w:p>
        </w:tc>
        <w:tc>
          <w:tcPr>
            <w:tcW w:type="dxa" w:w="3561"/>
            <w:vAlign w:val="top"/>
          </w:tcPr>
          <w:p>
            <w:pPr>
              <w:spacing w:after="0" w:line="223" w:lineRule="auto"/>
            </w:pPr>
            <w:r>
              <w:rPr>
                <w:rFonts w:ascii="Times New Roman" w:hAnsi="Times New Roman"/>
                <w:sz w:val="13"/>
              </w:rPr>
              <w:t>fearful/fainthearted</w:t>
            </w:r>
          </w:p>
        </w:tc>
        <w:tc>
          <w:tcPr>
            <w:tcW w:type="dxa" w:w="3561"/>
            <w:vAlign w:val="top"/>
          </w:tcPr>
          <w:p>
            <w:pPr>
              <w:spacing w:after="0" w:line="223" w:lineRule="auto"/>
            </w:pPr>
            <w:r>
              <w:rPr>
                <w:rFonts w:ascii="Times New Roman" w:hAnsi="Times New Roman"/>
                <w:sz w:val="13"/>
              </w:rPr>
              <w:t>Sent home lest fear spread.</w:t>
            </w:r>
          </w:p>
        </w:tc>
      </w:tr>
      <w:tr>
        <w:tc>
          <w:tcPr>
            <w:tcW w:type="dxa" w:w="3561"/>
            <w:vAlign w:val="top"/>
          </w:tcPr>
          <w:p>
            <w:pPr>
              <w:spacing w:after="0" w:line="223" w:lineRule="auto"/>
            </w:pPr>
            <w:r>
              <w:rPr>
                <w:rFonts w:ascii="Times New Roman" w:hAnsi="Times New Roman"/>
                <w:sz w:val="13"/>
              </w:rPr>
              <w:t>Deut. 20:10</w:t>
            </w:r>
          </w:p>
        </w:tc>
        <w:tc>
          <w:tcPr>
            <w:tcW w:type="dxa" w:w="3561"/>
            <w:vAlign w:val="top"/>
          </w:tcPr>
          <w:p>
            <w:pPr>
              <w:spacing w:after="0" w:line="223" w:lineRule="auto"/>
            </w:pPr>
            <w:r>
              <w:rPr>
                <w:rFonts w:ascii="Times New Roman" w:hAnsi="Times New Roman"/>
                <w:sz w:val="13"/>
              </w:rPr>
              <w:t>offer peace</w:t>
            </w:r>
          </w:p>
        </w:tc>
        <w:tc>
          <w:tcPr>
            <w:tcW w:type="dxa" w:w="3561"/>
            <w:vAlign w:val="top"/>
          </w:tcPr>
          <w:p>
            <w:pPr>
              <w:spacing w:after="0" w:line="223" w:lineRule="auto"/>
            </w:pPr>
            <w:r>
              <w:rPr>
                <w:rFonts w:ascii="Times New Roman" w:hAnsi="Times New Roman"/>
                <w:sz w:val="13"/>
              </w:rPr>
              <w:t>For distant-city category.</w:t>
            </w:r>
          </w:p>
        </w:tc>
      </w:tr>
      <w:tr>
        <w:tc>
          <w:tcPr>
            <w:tcW w:type="dxa" w:w="3561"/>
            <w:vAlign w:val="top"/>
          </w:tcPr>
          <w:p>
            <w:pPr>
              <w:spacing w:after="0" w:line="223" w:lineRule="auto"/>
            </w:pPr>
            <w:r>
              <w:rPr>
                <w:rFonts w:ascii="Times New Roman" w:hAnsi="Times New Roman"/>
                <w:sz w:val="13"/>
              </w:rPr>
              <w:t>Deut. 20:11</w:t>
            </w:r>
          </w:p>
        </w:tc>
        <w:tc>
          <w:tcPr>
            <w:tcW w:type="dxa" w:w="3561"/>
            <w:vAlign w:val="top"/>
          </w:tcPr>
          <w:p>
            <w:pPr>
              <w:spacing w:after="0" w:line="223" w:lineRule="auto"/>
            </w:pPr>
            <w:r>
              <w:rPr>
                <w:rFonts w:ascii="Times New Roman" w:hAnsi="Times New Roman"/>
                <w:sz w:val="13"/>
              </w:rPr>
              <w:t>mas</w:t>
            </w:r>
          </w:p>
        </w:tc>
        <w:tc>
          <w:tcPr>
            <w:tcW w:type="dxa" w:w="3561"/>
            <w:vAlign w:val="top"/>
          </w:tcPr>
          <w:p>
            <w:pPr>
              <w:spacing w:after="0" w:line="223" w:lineRule="auto"/>
            </w:pPr>
            <w:r>
              <w:rPr>
                <w:rFonts w:ascii="Times New Roman" w:hAnsi="Times New Roman"/>
                <w:sz w:val="13"/>
              </w:rPr>
              <w:t>Tributary/forced labour; conversion/circumcision not specified.</w:t>
            </w:r>
          </w:p>
        </w:tc>
      </w:tr>
      <w:tr>
        <w:tc>
          <w:tcPr>
            <w:tcW w:type="dxa" w:w="3561"/>
            <w:vAlign w:val="top"/>
          </w:tcPr>
          <w:p>
            <w:pPr>
              <w:spacing w:after="0" w:line="223" w:lineRule="auto"/>
            </w:pPr>
            <w:r>
              <w:rPr>
                <w:rFonts w:ascii="Times New Roman" w:hAnsi="Times New Roman"/>
                <w:sz w:val="13"/>
              </w:rPr>
              <w:t>Deut. 20:12–14</w:t>
            </w:r>
          </w:p>
        </w:tc>
        <w:tc>
          <w:tcPr>
            <w:tcW w:type="dxa" w:w="3561"/>
            <w:vAlign w:val="top"/>
          </w:tcPr>
          <w:p>
            <w:pPr>
              <w:spacing w:after="0" w:line="223" w:lineRule="auto"/>
            </w:pPr>
            <w:r>
              <w:rPr>
                <w:rFonts w:ascii="Times New Roman" w:hAnsi="Times New Roman"/>
                <w:sz w:val="13"/>
              </w:rPr>
              <w:t>peace refused</w:t>
            </w:r>
          </w:p>
        </w:tc>
        <w:tc>
          <w:tcPr>
            <w:tcW w:type="dxa" w:w="3561"/>
            <w:vAlign w:val="top"/>
          </w:tcPr>
          <w:p>
            <w:pPr>
              <w:spacing w:after="0" w:line="223" w:lineRule="auto"/>
            </w:pPr>
            <w:r>
              <w:rPr>
                <w:rFonts w:ascii="Times New Roman" w:hAnsi="Times New Roman"/>
                <w:sz w:val="13"/>
              </w:rPr>
              <w:t>Severe distant-city warfare rule.</w:t>
            </w:r>
          </w:p>
        </w:tc>
      </w:tr>
      <w:tr>
        <w:tc>
          <w:tcPr>
            <w:tcW w:type="dxa" w:w="3561"/>
            <w:vAlign w:val="top"/>
          </w:tcPr>
          <w:p>
            <w:pPr>
              <w:spacing w:after="0" w:line="223" w:lineRule="auto"/>
            </w:pPr>
            <w:r>
              <w:rPr>
                <w:rFonts w:ascii="Times New Roman" w:hAnsi="Times New Roman"/>
                <w:sz w:val="13"/>
              </w:rPr>
              <w:t>Deut. 20:15</w:t>
            </w:r>
          </w:p>
        </w:tc>
        <w:tc>
          <w:tcPr>
            <w:tcW w:type="dxa" w:w="3561"/>
            <w:vAlign w:val="top"/>
          </w:tcPr>
          <w:p>
            <w:pPr>
              <w:spacing w:after="0" w:line="223" w:lineRule="auto"/>
            </w:pPr>
            <w:r>
              <w:rPr>
                <w:rFonts w:ascii="Times New Roman" w:hAnsi="Times New Roman"/>
                <w:sz w:val="13"/>
              </w:rPr>
              <w:t>far-off cities</w:t>
            </w:r>
          </w:p>
        </w:tc>
        <w:tc>
          <w:tcPr>
            <w:tcW w:type="dxa" w:w="3561"/>
            <w:vAlign w:val="top"/>
          </w:tcPr>
          <w:p>
            <w:pPr>
              <w:spacing w:after="0" w:line="223" w:lineRule="auto"/>
            </w:pPr>
            <w:r>
              <w:rPr>
                <w:rFonts w:ascii="Times New Roman" w:hAnsi="Times New Roman"/>
                <w:sz w:val="13"/>
              </w:rPr>
              <w:t>Distinguished from Canaanite inheritance cities.</w:t>
            </w:r>
          </w:p>
        </w:tc>
      </w:tr>
      <w:tr>
        <w:tc>
          <w:tcPr>
            <w:tcW w:type="dxa" w:w="3561"/>
            <w:vAlign w:val="top"/>
          </w:tcPr>
          <w:p>
            <w:pPr>
              <w:spacing w:after="0" w:line="223" w:lineRule="auto"/>
            </w:pPr>
            <w:r>
              <w:rPr>
                <w:rFonts w:ascii="Times New Roman" w:hAnsi="Times New Roman"/>
                <w:sz w:val="13"/>
              </w:rPr>
              <w:t>Deut. 20:16–17</w:t>
            </w:r>
          </w:p>
        </w:tc>
        <w:tc>
          <w:tcPr>
            <w:tcW w:type="dxa" w:w="3561"/>
            <w:vAlign w:val="top"/>
          </w:tcPr>
          <w:p>
            <w:pPr>
              <w:spacing w:after="0" w:line="223" w:lineRule="auto"/>
            </w:pPr>
            <w:r>
              <w:rPr>
                <w:rFonts w:ascii="Times New Roman" w:hAnsi="Times New Roman"/>
                <w:sz w:val="13"/>
              </w:rPr>
              <w:t>cherem</w:t>
            </w:r>
          </w:p>
        </w:tc>
        <w:tc>
          <w:tcPr>
            <w:tcW w:type="dxa" w:w="3561"/>
            <w:vAlign w:val="top"/>
          </w:tcPr>
          <w:p>
            <w:pPr>
              <w:spacing w:after="0" w:line="223" w:lineRule="auto"/>
            </w:pPr>
            <w:r>
              <w:rPr>
                <w:rFonts w:ascii="Times New Roman" w:hAnsi="Times New Roman"/>
                <w:sz w:val="13"/>
              </w:rPr>
              <w:t>Specific Canaanite judgment; six peoples named here.</w:t>
            </w:r>
          </w:p>
        </w:tc>
      </w:tr>
      <w:tr>
        <w:tc>
          <w:tcPr>
            <w:tcW w:type="dxa" w:w="3561"/>
            <w:vAlign w:val="top"/>
          </w:tcPr>
          <w:p>
            <w:pPr>
              <w:spacing w:after="0" w:line="223" w:lineRule="auto"/>
            </w:pPr>
            <w:r>
              <w:rPr>
                <w:rFonts w:ascii="Times New Roman" w:hAnsi="Times New Roman"/>
                <w:sz w:val="13"/>
              </w:rPr>
              <w:t>Deut. 20:18</w:t>
            </w:r>
          </w:p>
        </w:tc>
        <w:tc>
          <w:tcPr>
            <w:tcW w:type="dxa" w:w="3561"/>
            <w:vAlign w:val="top"/>
          </w:tcPr>
          <w:p>
            <w:pPr>
              <w:spacing w:after="0" w:line="223" w:lineRule="auto"/>
            </w:pPr>
            <w:r>
              <w:rPr>
                <w:rFonts w:ascii="Times New Roman" w:hAnsi="Times New Roman"/>
                <w:sz w:val="13"/>
              </w:rPr>
              <w:t>reason</w:t>
            </w:r>
          </w:p>
        </w:tc>
        <w:tc>
          <w:tcPr>
            <w:tcW w:type="dxa" w:w="3561"/>
            <w:vAlign w:val="top"/>
          </w:tcPr>
          <w:p>
            <w:pPr>
              <w:spacing w:after="0" w:line="223" w:lineRule="auto"/>
            </w:pPr>
            <w:r>
              <w:rPr>
                <w:rFonts w:ascii="Times New Roman" w:hAnsi="Times New Roman"/>
                <w:sz w:val="13"/>
              </w:rPr>
              <w:t>Prevent teaching Israel Canaanite abominations.</w:t>
            </w:r>
          </w:p>
        </w:tc>
      </w:tr>
      <w:tr>
        <w:tc>
          <w:tcPr>
            <w:tcW w:type="dxa" w:w="3561"/>
            <w:vAlign w:val="top"/>
          </w:tcPr>
          <w:p>
            <w:pPr>
              <w:spacing w:after="0" w:line="223" w:lineRule="auto"/>
            </w:pPr>
            <w:r>
              <w:rPr>
                <w:rFonts w:ascii="Times New Roman" w:hAnsi="Times New Roman"/>
                <w:sz w:val="13"/>
              </w:rPr>
              <w:t>Deut. 20:19</w:t>
            </w:r>
          </w:p>
        </w:tc>
        <w:tc>
          <w:tcPr>
            <w:tcW w:type="dxa" w:w="3561"/>
            <w:vAlign w:val="top"/>
          </w:tcPr>
          <w:p>
            <w:pPr>
              <w:spacing w:after="0" w:line="223" w:lineRule="auto"/>
            </w:pPr>
            <w:r>
              <w:rPr>
                <w:rFonts w:ascii="Times New Roman" w:hAnsi="Times New Roman"/>
                <w:sz w:val="13"/>
              </w:rPr>
              <w:t>fruit trees</w:t>
            </w:r>
          </w:p>
        </w:tc>
        <w:tc>
          <w:tcPr>
            <w:tcW w:type="dxa" w:w="3561"/>
            <w:vAlign w:val="top"/>
          </w:tcPr>
          <w:p>
            <w:pPr>
              <w:spacing w:after="0" w:line="223" w:lineRule="auto"/>
            </w:pPr>
            <w:r>
              <w:rPr>
                <w:rFonts w:ascii="Times New Roman" w:hAnsi="Times New Roman"/>
                <w:sz w:val="13"/>
              </w:rPr>
              <w:t>Do not destroy for siege works.</w:t>
            </w:r>
          </w:p>
        </w:tc>
      </w:tr>
      <w:tr>
        <w:tc>
          <w:tcPr>
            <w:tcW w:type="dxa" w:w="3561"/>
            <w:vAlign w:val="top"/>
          </w:tcPr>
          <w:p>
            <w:pPr>
              <w:spacing w:after="0" w:line="223" w:lineRule="auto"/>
            </w:pPr>
            <w:r>
              <w:rPr>
                <w:rFonts w:ascii="Times New Roman" w:hAnsi="Times New Roman"/>
                <w:sz w:val="13"/>
              </w:rPr>
              <w:t>Deut. 20:19</w:t>
            </w:r>
          </w:p>
        </w:tc>
        <w:tc>
          <w:tcPr>
            <w:tcW w:type="dxa" w:w="3561"/>
            <w:vAlign w:val="top"/>
          </w:tcPr>
          <w:p>
            <w:pPr>
              <w:spacing w:after="0" w:line="223" w:lineRule="auto"/>
            </w:pPr>
            <w:r>
              <w:rPr>
                <w:rFonts w:ascii="Times New Roman" w:hAnsi="Times New Roman"/>
                <w:sz w:val="13"/>
              </w:rPr>
              <w:t>tree/man clause</w:t>
            </w:r>
          </w:p>
        </w:tc>
        <w:tc>
          <w:tcPr>
            <w:tcW w:type="dxa" w:w="3561"/>
            <w:vAlign w:val="top"/>
          </w:tcPr>
          <w:p>
            <w:pPr>
              <w:spacing w:after="0" w:line="223" w:lineRule="auto"/>
            </w:pPr>
            <w:r>
              <w:rPr>
                <w:rFonts w:ascii="Times New Roman" w:hAnsi="Times New Roman"/>
                <w:sz w:val="13"/>
              </w:rPr>
              <w:t>Hebrew syntax debated; rhetorical-question reading possible.</w:t>
            </w:r>
          </w:p>
        </w:tc>
      </w:tr>
      <w:tr>
        <w:tc>
          <w:tcPr>
            <w:tcW w:type="dxa" w:w="3561"/>
            <w:vAlign w:val="top"/>
          </w:tcPr>
          <w:p>
            <w:pPr>
              <w:spacing w:after="0" w:line="223" w:lineRule="auto"/>
            </w:pPr>
            <w:r>
              <w:rPr>
                <w:rFonts w:ascii="Times New Roman" w:hAnsi="Times New Roman"/>
                <w:sz w:val="13"/>
              </w:rPr>
              <w:t>Deut. 20:20</w:t>
            </w:r>
          </w:p>
        </w:tc>
        <w:tc>
          <w:tcPr>
            <w:tcW w:type="dxa" w:w="3561"/>
            <w:vAlign w:val="top"/>
          </w:tcPr>
          <w:p>
            <w:pPr>
              <w:spacing w:after="0" w:line="223" w:lineRule="auto"/>
            </w:pPr>
            <w:r>
              <w:rPr>
                <w:rFonts w:ascii="Times New Roman" w:hAnsi="Times New Roman"/>
                <w:sz w:val="13"/>
              </w:rPr>
              <w:t>non-food trees</w:t>
            </w:r>
          </w:p>
        </w:tc>
        <w:tc>
          <w:tcPr>
            <w:tcW w:type="dxa" w:w="3561"/>
            <w:vAlign w:val="top"/>
          </w:tcPr>
          <w:p>
            <w:pPr>
              <w:spacing w:after="0" w:line="223" w:lineRule="auto"/>
            </w:pPr>
            <w:r>
              <w:rPr>
                <w:rFonts w:ascii="Times New Roman" w:hAnsi="Times New Roman"/>
                <w:sz w:val="13"/>
              </w:rPr>
              <w:t>May be cut for siege works.</w:t>
            </w:r>
          </w:p>
        </w:tc>
      </w:tr>
    </w:tbl>
    <w:p>
      <w:pPr>
        <w:pStyle w:val="Heading1"/>
      </w:pPr>
      <w:r>
        <w:t>RESIDUAL UNCERTAINTIES</w:t>
      </w:r>
    </w:p>
    <w:p>
      <w:pPr/>
      <w:r>
        <w:rPr>
          <w:i w:val="0"/>
        </w:rPr>
        <w:t>The identity and role of the battle-priest beyond this passage, details of ancient house dedication, and the exact syntax of verse 19 remain uncertain. Mansfield’s conversion requirement for distant cities and his fixed reading of the tree clause are not retained as textual facts.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