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DEUTERONOMY 21</w:t>
      </w:r>
    </w:p>
    <w:p>
      <w:pPr>
        <w:pStyle w:val="Subtitle"/>
      </w:pPr>
      <w:r>
        <w:t>UNSOLVED BLOODGUILT • THE NEAREST CITY • CAPTIVE WOMAN PROTECTED • THE TRUE FIRSTBORN • INCORRIGIBLE REBELLION • A BODY EXPOSED ON A TREE • THE LAND MUST NOT BE DEFILED</w:t>
      </w:r>
    </w:p>
    <w:p>
      <w:pPr/>
      <w:r>
        <w:rPr>
          <w:i/>
        </w:rPr>
        <w:t>H. P. Mansfield Bible notes — checked and arranged in verse-by-verse Expositor style</w:t>
      </w:r>
    </w:p>
    <w:p>
      <w:pPr/>
      <w:r>
        <w:rPr>
          <w:i w:val="0"/>
        </w:rPr>
        <w:t>Source: HPB 04-Deu01-Jud04.PDF pp. 33–34; cross-checked with Mansfield’s Deuteronomy Expositor Chapter 21, Numbers 35 and Galatians 3.</w:t>
      </w:r>
    </w:p>
    <w:p>
      <w:pPr>
        <w:pStyle w:val="Heading1"/>
      </w:pPr>
      <w:r>
        <w:t>CHAPTER OVERVIEW</w:t>
      </w:r>
    </w:p>
    <w:p>
      <w:pPr/>
      <w:r>
        <w:rPr>
          <w:i w:val="0"/>
        </w:rPr>
        <w:t>Deuteronomy 21 protects human life and limits the arbitrary use of power. Unknown murder is not ignored; a captive woman cannot be treated as disposable spoil; preference between wives cannot cancel the true firstborn’s right; and even the corpse of an executed offender must be treated so that Yahweh’s land is not defiled.</w:t>
      </w:r>
    </w:p>
    <w:p>
      <w:pPr/>
      <w:r>
        <w:rPr>
          <w:i w:val="0"/>
        </w:rPr>
        <w:t>The chapter repeatedly places public responsibility above private convenience or passion.</w:t>
      </w:r>
    </w:p>
    <w:p>
      <w:pPr>
        <w:pStyle w:val="Heading1"/>
      </w:pPr>
      <w:r>
        <w:t>UNSOLVED MURDER — DEUTERONOMY 21:1–9</w:t>
      </w:r>
    </w:p>
    <w:p>
      <w:pPr>
        <w:pStyle w:val="Heading2"/>
      </w:pPr>
      <w:r>
        <w:t>Deuteronomy 21:1–3 — nearest city accepts the unresolved case</w:t>
      </w:r>
    </w:p>
    <w:p>
      <w:pPr/>
      <w:r>
        <w:rPr>
          <w:i w:val="0"/>
        </w:rPr>
        <w:t>If a slain person is found in open country and the killer is unknown, elders and judges measure to the surrounding cities. The elders of the nearest city provide a young heifer that has not worked or borne a yoke.</w:t>
      </w:r>
    </w:p>
    <w:p>
      <w:pPr/>
      <w:r>
        <w:rPr>
          <w:i w:val="0"/>
        </w:rPr>
        <w:t>The rite does not identify the murderer or transfer the murderer’s personal guilt to innocent elders. It makes the community formally address unresolved innocent blood.</w:t>
      </w:r>
    </w:p>
    <w:p>
      <w:pPr>
        <w:pStyle w:val="Heading2"/>
      </w:pPr>
      <w:r>
        <w:t>Deuteronomy 21:4 — `nachal ethan`</w:t>
      </w:r>
    </w:p>
    <w:p>
      <w:pPr/>
      <w:r>
        <w:rPr>
          <w:i w:val="0"/>
        </w:rPr>
        <w:t>The heifer is taken to a `nachal ethan` which has not been worked or sown, and its neck is broken there.</w:t>
      </w:r>
    </w:p>
    <w:p>
      <w:pPr/>
      <w:r>
        <w:rPr>
          <w:i w:val="0"/>
        </w:rPr>
        <w:t>KJV “rough valley” is one traditional rendering. `Nachal` can mean wadi/stream-valley and `ethan` can convey enduring/perennial or strong. The exact landscape—perennial stream, rugged valley or uncultivated wadi—is debated. Mansfield’s certainty about a running stream and a specifically deserted murder-scene reenactment goes beyond the text.</w:t>
      </w:r>
    </w:p>
    <w:p>
      <w:pPr>
        <w:pStyle w:val="Heading2"/>
      </w:pPr>
      <w:r>
        <w:t>Deuteronomy 21:4 — neck broken, not a normal altar sacrifice</w:t>
      </w:r>
    </w:p>
    <w:p>
      <w:pPr/>
      <w:r>
        <w:rPr>
          <w:i w:val="0"/>
        </w:rPr>
        <w:t>The heifer’s neck is broken rather than its blood being offered on the altar.</w:t>
      </w:r>
    </w:p>
    <w:p>
      <w:pPr/>
      <w:r>
        <w:rPr>
          <w:i w:val="0"/>
        </w:rPr>
        <w:t>The rite has atoning/cleansing language in verse 8 but is not an ordinary sacrificial offering. Mansfield’s detailed claim that every element reenacts the unknown murder is possible typology rather than stated explanation.</w:t>
      </w:r>
    </w:p>
    <w:p>
      <w:pPr>
        <w:pStyle w:val="Heading2"/>
      </w:pPr>
      <w:r>
        <w:t>Deuteronomy 21:5 — priests present</w:t>
      </w:r>
    </w:p>
    <w:p>
      <w:pPr/>
      <w:r>
        <w:rPr>
          <w:i w:val="0"/>
        </w:rPr>
        <w:t>The Levitical priests come near because Yahweh chose them to minister, bless in His Name, and because legal controversies and assaults are decided at their word.</w:t>
      </w:r>
    </w:p>
    <w:p>
      <w:pPr>
        <w:pStyle w:val="Heading2"/>
      </w:pPr>
      <w:r>
        <w:t>Deuteronomy 21:6–7 — handwashing and disclaimer</w:t>
      </w:r>
    </w:p>
    <w:p>
      <w:pPr/>
      <w:r>
        <w:rPr>
          <w:i w:val="0"/>
        </w:rPr>
        <w:t>The elders wash their hands over the heifer and declare that their hands did not shed the blood and their eyes did not see the crime.</w:t>
      </w:r>
    </w:p>
    <w:p>
      <w:pPr/>
      <w:r>
        <w:rPr>
          <w:i w:val="0"/>
        </w:rPr>
        <w:t>The ceremony is a formal disclaimer of complicity combined with acceptance of communal responsibility to deal rightly with bloodguilt.</w:t>
      </w:r>
    </w:p>
    <w:p>
      <w:pPr>
        <w:pStyle w:val="Heading2"/>
      </w:pPr>
      <w:r>
        <w:t>Deuteronomy 21:8–9 — atonement/mercy for redeemed Israel</w:t>
      </w:r>
    </w:p>
    <w:p>
      <w:pPr/>
      <w:r>
        <w:rPr>
          <w:i w:val="0"/>
        </w:rPr>
        <w:t>They ask Yahweh to `kaphar` for His redeemed people and not place innocent blood in Israel’s midst; the chapter says the bloodguilt is atoned/cleared when Israel does what is right.</w:t>
      </w:r>
    </w:p>
    <w:p>
      <w:pPr/>
      <w:r>
        <w:rPr>
          <w:i w:val="0"/>
        </w:rPr>
        <w:t>`Kaphar` is atone/cover/purge. The rite concerns cleansing the community from unresolved bloodguilt, not forgiveness of the unknown murderer’s personal crime.</w:t>
      </w:r>
    </w:p>
    <w:p>
      <w:pPr>
        <w:pStyle w:val="Heading1"/>
      </w:pPr>
      <w:r>
        <w:t>THE CAPTIVE WOMAN — DEUTERONOMY 21:10–14</w:t>
      </w:r>
    </w:p>
    <w:p>
      <w:pPr>
        <w:pStyle w:val="Heading2"/>
      </w:pPr>
      <w:r>
        <w:t>Deuteronomy 21:10–11 — desire is restrained by law</w:t>
      </w:r>
    </w:p>
    <w:p>
      <w:pPr/>
      <w:r>
        <w:rPr>
          <w:i w:val="0"/>
        </w:rPr>
        <w:t>When Israel takes captives in a permitted war and a man desires a captive woman as wife, he cannot simply use her immediately as spoil.</w:t>
      </w:r>
    </w:p>
    <w:p>
      <w:pPr/>
      <w:r>
        <w:rPr>
          <w:i w:val="0"/>
        </w:rPr>
        <w:t>Because the immediately preceding war law distinguishes distant enemies from Canaanite `cherem`, this legislation is naturally read in relation to captives who may lawfully be spared.</w:t>
      </w:r>
    </w:p>
    <w:p>
      <w:pPr>
        <w:pStyle w:val="Heading2"/>
      </w:pPr>
      <w:r>
        <w:t>Deuteronomy 21:12 — head and nails</w:t>
      </w:r>
    </w:p>
    <w:p>
      <w:pPr/>
      <w:r>
        <w:rPr>
          <w:i w:val="0"/>
        </w:rPr>
        <w:t>The woman is brought into the house, shaves her head and `does` her nails.</w:t>
      </w:r>
    </w:p>
    <w:p>
      <w:pPr/>
      <w:r>
        <w:rPr>
          <w:i w:val="0"/>
        </w:rPr>
        <w:t>The Hebrew `‘asah et-tsipporneyha` is ambiguous: translations give trim/pare the nails or let them grow. The secure point is a prescribed transition from captive status; Mansfield’s elaborate symbolism of nail length and a repudiated Gentile father is not stated.</w:t>
      </w:r>
    </w:p>
    <w:p>
      <w:pPr>
        <w:pStyle w:val="Heading2"/>
      </w:pPr>
      <w:r>
        <w:t>Deuteronomy 21:13 — remove captive clothing and mourn a month</w:t>
      </w:r>
    </w:p>
    <w:p>
      <w:pPr/>
      <w:r>
        <w:rPr>
          <w:i w:val="0"/>
        </w:rPr>
        <w:t>She removes the garment of captivity and is given a full month to mourn father and mother before the marriage is consummated.</w:t>
      </w:r>
    </w:p>
    <w:p>
      <w:pPr/>
      <w:r>
        <w:rPr>
          <w:i w:val="0"/>
        </w:rPr>
        <w:t>The waiting period protects mourning, transition and deliberation.</w:t>
      </w:r>
    </w:p>
    <w:p>
      <w:pPr>
        <w:pStyle w:val="Heading2"/>
      </w:pPr>
      <w:r>
        <w:t>Deuteronomy 21:14 — no sale if the marriage fails</w:t>
      </w:r>
    </w:p>
    <w:p>
      <w:pPr/>
      <w:r>
        <w:rPr>
          <w:i w:val="0"/>
        </w:rPr>
        <w:t>If the man later has no delight in her, he must release her freely. He may not sell her for money or treat her as merchandise because he has `‘innah` her—humbled/afflicted her in the marital-captive situation.</w:t>
      </w:r>
    </w:p>
    <w:p>
      <w:pPr/>
      <w:r>
        <w:rPr>
          <w:i w:val="0"/>
        </w:rPr>
        <w:t>The verse restrains exploitation. It should not be rewritten as proof that the initial intercourse was rape; the legislation has treated her as a wife, while acknowledging the profound power imbalance of captivity.</w:t>
      </w:r>
    </w:p>
    <w:p>
      <w:pPr>
        <w:pStyle w:val="Heading1"/>
      </w:pPr>
      <w:r>
        <w:t>THE TRUE FIRSTBORN — DEUTERONOMY 21:15–17</w:t>
      </w:r>
    </w:p>
    <w:p>
      <w:pPr>
        <w:pStyle w:val="Heading2"/>
      </w:pPr>
      <w:r>
        <w:t>Deuteronomy 21:15 — loved and hated wives</w:t>
      </w:r>
    </w:p>
    <w:p>
      <w:pPr/>
      <w:r>
        <w:rPr>
          <w:i w:val="0"/>
        </w:rPr>
        <w:t>If a man has two wives, one loved and one `senuah`, hated/less loved, his personal preference cannot determine inheritance.</w:t>
      </w:r>
    </w:p>
    <w:p>
      <w:pPr>
        <w:pStyle w:val="Heading2"/>
      </w:pPr>
      <w:r>
        <w:t>Deuteronomy 21:16–17 — double share to the actual firstborn</w:t>
      </w:r>
    </w:p>
    <w:p>
      <w:pPr/>
      <w:r>
        <w:rPr>
          <w:i w:val="0"/>
        </w:rPr>
        <w:t>The son who is truly firstborn receives `pi shenayim`, a double share/two portions, even if he is the son of the less-favoured wife.</w:t>
      </w:r>
    </w:p>
    <w:p>
      <w:pPr/>
      <w:r>
        <w:rPr>
          <w:i w:val="0"/>
        </w:rPr>
        <w:t>The law blocks manipulation of legal status by affection. Genesis supplies narratives in which Yahweh Himself sovereignly chooses younger sons, but a human father may not falsify the ordinary firstborn right by favouritism.</w:t>
      </w:r>
    </w:p>
    <w:p>
      <w:pPr>
        <w:pStyle w:val="Heading1"/>
      </w:pPr>
      <w:r>
        <w:t>THE STUBBORN AND REBELLIOUS SON — DEUTERONOMY 21:18–21</w:t>
      </w:r>
    </w:p>
    <w:p>
      <w:pPr>
        <w:pStyle w:val="Heading2"/>
      </w:pPr>
      <w:r>
        <w:t>Deuteronomy 21:18–20 — persistent, public incorrigibility</w:t>
      </w:r>
    </w:p>
    <w:p>
      <w:pPr/>
      <w:r>
        <w:rPr>
          <w:i w:val="0"/>
        </w:rPr>
        <w:t>The case concerns a `sorer umoreh`, stubborn and rebellious son who will not obey father or mother even after discipline and is described by the parents as a glutton and drunkard.</w:t>
      </w:r>
    </w:p>
    <w:p>
      <w:pPr/>
      <w:r>
        <w:rPr>
          <w:i w:val="0"/>
        </w:rPr>
        <w:t>This is not legislation for a small child’s isolated disobedience. The behaviour described is entrenched and socially destructive, and both parents bring the case to the city elders.</w:t>
      </w:r>
    </w:p>
    <w:p>
      <w:pPr>
        <w:pStyle w:val="Heading2"/>
      </w:pPr>
      <w:r>
        <w:t>Deuteronomy 21:21 — judgment belongs to the community</w:t>
      </w:r>
    </w:p>
    <w:p>
      <w:pPr/>
      <w:r>
        <w:rPr>
          <w:i w:val="0"/>
        </w:rPr>
        <w:t>Under Israel’s theocratic law the men of the city execute the convicted offender, removing evil so Israel hears and fears.</w:t>
      </w:r>
    </w:p>
    <w:p>
      <w:pPr/>
      <w:r>
        <w:rPr>
          <w:i w:val="0"/>
        </w:rPr>
        <w:t>The parents do not possess a private right to kill their child. Formal elders and communal judgment stand between parental accusation and punishment.</w:t>
      </w:r>
    </w:p>
    <w:p>
      <w:pPr>
        <w:pStyle w:val="Heading1"/>
      </w:pPr>
      <w:r>
        <w:t>A BODY ON A TREE — DEUTERONOMY 21:22–23</w:t>
      </w:r>
    </w:p>
    <w:p>
      <w:pPr>
        <w:pStyle w:val="Heading2"/>
      </w:pPr>
      <w:r>
        <w:t>Deuteronomy 21:22 — executed, then hanged/exposed</w:t>
      </w:r>
    </w:p>
    <w:p>
      <w:pPr/>
      <w:r>
        <w:rPr>
          <w:i w:val="0"/>
        </w:rPr>
        <w:t>The Hebrew sequence is: a man has committed a sin worthy of death, “he be put to death,” and “thou hang him on a tree.”</w:t>
      </w:r>
    </w:p>
    <w:p>
      <w:pPr/>
      <w:r>
        <w:rPr>
          <w:i w:val="0"/>
        </w:rPr>
        <w:t>This most naturally describes post-execution exposure of the body rather than hanging as the method of execution. Mansfield’s wording should not blur that sequence.</w:t>
      </w:r>
    </w:p>
    <w:p>
      <w:pPr>
        <w:pStyle w:val="Heading2"/>
      </w:pPr>
      <w:r>
        <w:t>Deuteronomy 21:23 — same-day burial</w:t>
      </w:r>
    </w:p>
    <w:p>
      <w:pPr/>
      <w:r>
        <w:rPr>
          <w:i w:val="0"/>
        </w:rPr>
        <w:t>The body must not remain overnight; it must be buried the same day because a hanged one is `qillath Elohim`, a curse of God / accursed of God, and the land must not be defiled.</w:t>
      </w:r>
    </w:p>
    <w:p>
      <w:pPr>
        <w:pStyle w:val="Heading2"/>
      </w:pPr>
      <w:r>
        <w:t>Galatians 3:13 — Christ bears the curse</w:t>
      </w:r>
    </w:p>
    <w:p>
      <w:pPr/>
      <w:r>
        <w:rPr>
          <w:i w:val="0"/>
        </w:rPr>
        <w:t>Paul explicitly cites Deuteronomy 21:23: “Cursed is every one that hangeth on a tree,” applying the curse-language to Christ redeeming from the curse of the Law.</w:t>
      </w:r>
    </w:p>
    <w:p>
      <w:pPr/>
      <w:r>
        <w:rPr>
          <w:i w:val="0"/>
        </w:rPr>
        <w:t>This New Testament use is direct apostolic interpretation. It does not imply that Christ was morally cursed for personal sin; he voluntarily bore the curse associated with the manner of his death.</w:t>
      </w:r>
    </w:p>
    <w:p>
      <w:pPr>
        <w:pStyle w:val="Heading1"/>
      </w:pPr>
      <w:r>
        <w:t>PRINCIPAL THEMES</w:t>
      </w:r>
    </w:p>
    <w:p>
      <w:pPr>
        <w:ind w:left="259" w:hanging="202"/>
      </w:pPr>
      <w:r>
        <w:rPr>
          <w:b/>
        </w:rPr>
        <w:t xml:space="preserve">• </w:t>
      </w:r>
      <w:r>
        <w:t>Unknown murder creates public responsibility even when the killer cannot be identified.</w:t>
      </w:r>
    </w:p>
    <w:p>
      <w:pPr>
        <w:ind w:left="259" w:hanging="202"/>
      </w:pPr>
      <w:r>
        <w:rPr>
          <w:b/>
        </w:rPr>
        <w:t xml:space="preserve">• </w:t>
      </w:r>
      <w:r>
        <w:t>`Nachal ethan` is geographically difficult; “running stream in a deserted valley” is not certain.</w:t>
      </w:r>
    </w:p>
    <w:p>
      <w:pPr>
        <w:ind w:left="259" w:hanging="202"/>
      </w:pPr>
      <w:r>
        <w:rPr>
          <w:b/>
        </w:rPr>
        <w:t xml:space="preserve">• </w:t>
      </w:r>
      <w:r>
        <w:t>The heifer rite cleanses unresolved communal bloodguilt but does not pardon the unknown murderer.</w:t>
      </w:r>
    </w:p>
    <w:p>
      <w:pPr>
        <w:ind w:left="259" w:hanging="202"/>
      </w:pPr>
      <w:r>
        <w:rPr>
          <w:b/>
        </w:rPr>
        <w:t xml:space="preserve">• </w:t>
      </w:r>
      <w:r>
        <w:t>The captive-woman law restrains the victor’s sexual and economic power.</w:t>
      </w:r>
    </w:p>
    <w:p>
      <w:pPr>
        <w:ind w:left="259" w:hanging="202"/>
      </w:pPr>
      <w:r>
        <w:rPr>
          <w:b/>
        </w:rPr>
        <w:t xml:space="preserve">• </w:t>
      </w:r>
      <w:r>
        <w:t>The nail instruction is linguistically ambiguous and should not be over-symbolised.</w:t>
      </w:r>
    </w:p>
    <w:p>
      <w:pPr>
        <w:ind w:left="259" w:hanging="202"/>
      </w:pPr>
      <w:r>
        <w:rPr>
          <w:b/>
        </w:rPr>
        <w:t xml:space="preserve">• </w:t>
      </w:r>
      <w:r>
        <w:t>The true firstborn receives two shares despite parental preference.</w:t>
      </w:r>
    </w:p>
    <w:p>
      <w:pPr>
        <w:ind w:left="259" w:hanging="202"/>
      </w:pPr>
      <w:r>
        <w:rPr>
          <w:b/>
        </w:rPr>
        <w:t xml:space="preserve">• </w:t>
      </w:r>
      <w:r>
        <w:t>The rebellious-son case describes persistent incorrigibility and requires public elders, not private parental violence.</w:t>
      </w:r>
    </w:p>
    <w:p>
      <w:pPr>
        <w:ind w:left="259" w:hanging="202"/>
      </w:pPr>
      <w:r>
        <w:rPr>
          <w:b/>
        </w:rPr>
        <w:t xml:space="preserve">• </w:t>
      </w:r>
      <w:r>
        <w:t>Verse 22 most naturally places execution before exposure on the tree.</w:t>
      </w:r>
    </w:p>
    <w:p>
      <w:pPr>
        <w:ind w:left="259" w:hanging="202"/>
      </w:pPr>
      <w:r>
        <w:rPr>
          <w:b/>
        </w:rPr>
        <w:t xml:space="preserve">• </w:t>
      </w:r>
      <w:r>
        <w:t>Same-day burial protects the holiness of Yahweh’s land.</w:t>
      </w:r>
    </w:p>
    <w:p>
      <w:pPr>
        <w:ind w:left="259" w:hanging="202"/>
      </w:pPr>
      <w:r>
        <w:rPr>
          <w:b/>
        </w:rPr>
        <w:t xml:space="preserve">• </w:t>
      </w:r>
      <w:r>
        <w:t>Galatians 3:13 explicitly applies the tree-curse text to Christ.</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3" w:lineRule="auto"/>
            </w:pPr>
            <w:r>
              <w:rPr>
                <w:rFonts w:ascii="Times New Roman" w:hAnsi="Times New Roman"/>
                <w:sz w:val="13"/>
              </w:rPr>
              <w:t>Deut. 21:3–4</w:t>
            </w:r>
          </w:p>
        </w:tc>
        <w:tc>
          <w:tcPr>
            <w:tcW w:type="dxa" w:w="3561"/>
            <w:vAlign w:val="top"/>
          </w:tcPr>
          <w:p>
            <w:pPr>
              <w:spacing w:after="0" w:line="223" w:lineRule="auto"/>
            </w:pPr>
            <w:r>
              <w:rPr>
                <w:rFonts w:ascii="Times New Roman" w:hAnsi="Times New Roman"/>
                <w:sz w:val="13"/>
              </w:rPr>
              <w:t>unworked heifer</w:t>
            </w:r>
          </w:p>
        </w:tc>
        <w:tc>
          <w:tcPr>
            <w:tcW w:type="dxa" w:w="3561"/>
            <w:vAlign w:val="top"/>
          </w:tcPr>
          <w:p>
            <w:pPr>
              <w:spacing w:after="0" w:line="223" w:lineRule="auto"/>
            </w:pPr>
            <w:r>
              <w:rPr>
                <w:rFonts w:ascii="Times New Roman" w:hAnsi="Times New Roman"/>
                <w:sz w:val="13"/>
              </w:rPr>
              <w:t>Community addresses unresolved bloodguilt.</w:t>
            </w:r>
          </w:p>
        </w:tc>
      </w:tr>
      <w:tr>
        <w:tc>
          <w:tcPr>
            <w:tcW w:type="dxa" w:w="3561"/>
            <w:vAlign w:val="top"/>
          </w:tcPr>
          <w:p>
            <w:pPr>
              <w:spacing w:after="0" w:line="223" w:lineRule="auto"/>
            </w:pPr>
            <w:r>
              <w:rPr>
                <w:rFonts w:ascii="Times New Roman" w:hAnsi="Times New Roman"/>
                <w:sz w:val="13"/>
              </w:rPr>
              <w:t>Deut. 21:4</w:t>
            </w:r>
          </w:p>
        </w:tc>
        <w:tc>
          <w:tcPr>
            <w:tcW w:type="dxa" w:w="3561"/>
            <w:vAlign w:val="top"/>
          </w:tcPr>
          <w:p>
            <w:pPr>
              <w:spacing w:after="0" w:line="223" w:lineRule="auto"/>
            </w:pPr>
            <w:r>
              <w:rPr>
                <w:rFonts w:ascii="Times New Roman" w:hAnsi="Times New Roman"/>
                <w:sz w:val="13"/>
              </w:rPr>
              <w:t>nachal ethan</w:t>
            </w:r>
          </w:p>
        </w:tc>
        <w:tc>
          <w:tcPr>
            <w:tcW w:type="dxa" w:w="3561"/>
            <w:vAlign w:val="top"/>
          </w:tcPr>
          <w:p>
            <w:pPr>
              <w:spacing w:after="0" w:line="223" w:lineRule="auto"/>
            </w:pPr>
            <w:r>
              <w:rPr>
                <w:rFonts w:ascii="Times New Roman" w:hAnsi="Times New Roman"/>
                <w:sz w:val="13"/>
              </w:rPr>
              <w:t>Rough/perennial/strong stream-valley; exact terrain debated.</w:t>
            </w:r>
          </w:p>
        </w:tc>
      </w:tr>
      <w:tr>
        <w:tc>
          <w:tcPr>
            <w:tcW w:type="dxa" w:w="3561"/>
            <w:vAlign w:val="top"/>
          </w:tcPr>
          <w:p>
            <w:pPr>
              <w:spacing w:after="0" w:line="223" w:lineRule="auto"/>
            </w:pPr>
            <w:r>
              <w:rPr>
                <w:rFonts w:ascii="Times New Roman" w:hAnsi="Times New Roman"/>
                <w:sz w:val="13"/>
              </w:rPr>
              <w:t>Deut. 21:4</w:t>
            </w:r>
          </w:p>
        </w:tc>
        <w:tc>
          <w:tcPr>
            <w:tcW w:type="dxa" w:w="3561"/>
            <w:vAlign w:val="top"/>
          </w:tcPr>
          <w:p>
            <w:pPr>
              <w:spacing w:after="0" w:line="223" w:lineRule="auto"/>
            </w:pPr>
            <w:r>
              <w:rPr>
                <w:rFonts w:ascii="Times New Roman" w:hAnsi="Times New Roman"/>
                <w:sz w:val="13"/>
              </w:rPr>
              <w:t>neck broken</w:t>
            </w:r>
          </w:p>
        </w:tc>
        <w:tc>
          <w:tcPr>
            <w:tcW w:type="dxa" w:w="3561"/>
            <w:vAlign w:val="top"/>
          </w:tcPr>
          <w:p>
            <w:pPr>
              <w:spacing w:after="0" w:line="223" w:lineRule="auto"/>
            </w:pPr>
            <w:r>
              <w:rPr>
                <w:rFonts w:ascii="Times New Roman" w:hAnsi="Times New Roman"/>
                <w:sz w:val="13"/>
              </w:rPr>
              <w:t>Not ordinary altar sacrifice.</w:t>
            </w:r>
          </w:p>
        </w:tc>
      </w:tr>
      <w:tr>
        <w:tc>
          <w:tcPr>
            <w:tcW w:type="dxa" w:w="3561"/>
            <w:vAlign w:val="top"/>
          </w:tcPr>
          <w:p>
            <w:pPr>
              <w:spacing w:after="0" w:line="223" w:lineRule="auto"/>
            </w:pPr>
            <w:r>
              <w:rPr>
                <w:rFonts w:ascii="Times New Roman" w:hAnsi="Times New Roman"/>
                <w:sz w:val="13"/>
              </w:rPr>
              <w:t>Deut. 21:8</w:t>
            </w:r>
          </w:p>
        </w:tc>
        <w:tc>
          <w:tcPr>
            <w:tcW w:type="dxa" w:w="3561"/>
            <w:vAlign w:val="top"/>
          </w:tcPr>
          <w:p>
            <w:pPr>
              <w:spacing w:after="0" w:line="223" w:lineRule="auto"/>
            </w:pPr>
            <w:r>
              <w:rPr>
                <w:rFonts w:ascii="Times New Roman" w:hAnsi="Times New Roman"/>
                <w:sz w:val="13"/>
              </w:rPr>
              <w:t>kaphar</w:t>
            </w:r>
          </w:p>
        </w:tc>
        <w:tc>
          <w:tcPr>
            <w:tcW w:type="dxa" w:w="3561"/>
            <w:vAlign w:val="top"/>
          </w:tcPr>
          <w:p>
            <w:pPr>
              <w:spacing w:after="0" w:line="223" w:lineRule="auto"/>
            </w:pPr>
            <w:r>
              <w:rPr>
                <w:rFonts w:ascii="Times New Roman" w:hAnsi="Times New Roman"/>
                <w:sz w:val="13"/>
              </w:rPr>
              <w:t>Atone/cover/purge community bloodguilt.</w:t>
            </w:r>
          </w:p>
        </w:tc>
      </w:tr>
      <w:tr>
        <w:tc>
          <w:tcPr>
            <w:tcW w:type="dxa" w:w="3561"/>
            <w:vAlign w:val="top"/>
          </w:tcPr>
          <w:p>
            <w:pPr>
              <w:spacing w:after="0" w:line="223" w:lineRule="auto"/>
            </w:pPr>
            <w:r>
              <w:rPr>
                <w:rFonts w:ascii="Times New Roman" w:hAnsi="Times New Roman"/>
                <w:sz w:val="13"/>
              </w:rPr>
              <w:t>Deut. 21:10–14</w:t>
            </w:r>
          </w:p>
        </w:tc>
        <w:tc>
          <w:tcPr>
            <w:tcW w:type="dxa" w:w="3561"/>
            <w:vAlign w:val="top"/>
          </w:tcPr>
          <w:p>
            <w:pPr>
              <w:spacing w:after="0" w:line="223" w:lineRule="auto"/>
            </w:pPr>
            <w:r>
              <w:rPr>
                <w:rFonts w:ascii="Times New Roman" w:hAnsi="Times New Roman"/>
                <w:sz w:val="13"/>
              </w:rPr>
              <w:t>captive woman</w:t>
            </w:r>
          </w:p>
        </w:tc>
        <w:tc>
          <w:tcPr>
            <w:tcW w:type="dxa" w:w="3561"/>
            <w:vAlign w:val="top"/>
          </w:tcPr>
          <w:p>
            <w:pPr>
              <w:spacing w:after="0" w:line="223" w:lineRule="auto"/>
            </w:pPr>
            <w:r>
              <w:rPr>
                <w:rFonts w:ascii="Times New Roman" w:hAnsi="Times New Roman"/>
                <w:sz w:val="13"/>
              </w:rPr>
              <w:t>Marriage procedure restrains immediate exploitation.</w:t>
            </w:r>
          </w:p>
        </w:tc>
      </w:tr>
      <w:tr>
        <w:tc>
          <w:tcPr>
            <w:tcW w:type="dxa" w:w="3561"/>
            <w:vAlign w:val="top"/>
          </w:tcPr>
          <w:p>
            <w:pPr>
              <w:spacing w:after="0" w:line="223" w:lineRule="auto"/>
            </w:pPr>
            <w:r>
              <w:rPr>
                <w:rFonts w:ascii="Times New Roman" w:hAnsi="Times New Roman"/>
                <w:sz w:val="13"/>
              </w:rPr>
              <w:t>Deut. 21:12</w:t>
            </w:r>
          </w:p>
        </w:tc>
        <w:tc>
          <w:tcPr>
            <w:tcW w:type="dxa" w:w="3561"/>
            <w:vAlign w:val="top"/>
          </w:tcPr>
          <w:p>
            <w:pPr>
              <w:spacing w:after="0" w:line="223" w:lineRule="auto"/>
            </w:pPr>
            <w:r>
              <w:rPr>
                <w:rFonts w:ascii="Times New Roman" w:hAnsi="Times New Roman"/>
                <w:sz w:val="13"/>
              </w:rPr>
              <w:t>nails</w:t>
            </w:r>
          </w:p>
        </w:tc>
        <w:tc>
          <w:tcPr>
            <w:tcW w:type="dxa" w:w="3561"/>
            <w:vAlign w:val="top"/>
          </w:tcPr>
          <w:p>
            <w:pPr>
              <w:spacing w:after="0" w:line="223" w:lineRule="auto"/>
            </w:pPr>
            <w:r>
              <w:rPr>
                <w:rFonts w:ascii="Times New Roman" w:hAnsi="Times New Roman"/>
                <w:sz w:val="13"/>
              </w:rPr>
              <w:t>Trim/pare vs let grow debated.</w:t>
            </w:r>
          </w:p>
        </w:tc>
      </w:tr>
      <w:tr>
        <w:tc>
          <w:tcPr>
            <w:tcW w:type="dxa" w:w="3561"/>
            <w:vAlign w:val="top"/>
          </w:tcPr>
          <w:p>
            <w:pPr>
              <w:spacing w:after="0" w:line="223" w:lineRule="auto"/>
            </w:pPr>
            <w:r>
              <w:rPr>
                <w:rFonts w:ascii="Times New Roman" w:hAnsi="Times New Roman"/>
                <w:sz w:val="13"/>
              </w:rPr>
              <w:t>Deut. 21:13</w:t>
            </w:r>
          </w:p>
        </w:tc>
        <w:tc>
          <w:tcPr>
            <w:tcW w:type="dxa" w:w="3561"/>
            <w:vAlign w:val="top"/>
          </w:tcPr>
          <w:p>
            <w:pPr>
              <w:spacing w:after="0" w:line="223" w:lineRule="auto"/>
            </w:pPr>
            <w:r>
              <w:rPr>
                <w:rFonts w:ascii="Times New Roman" w:hAnsi="Times New Roman"/>
                <w:sz w:val="13"/>
              </w:rPr>
              <w:t>one month mourning</w:t>
            </w:r>
          </w:p>
        </w:tc>
        <w:tc>
          <w:tcPr>
            <w:tcW w:type="dxa" w:w="3561"/>
            <w:vAlign w:val="top"/>
          </w:tcPr>
          <w:p>
            <w:pPr>
              <w:spacing w:after="0" w:line="223" w:lineRule="auto"/>
            </w:pPr>
            <w:r>
              <w:rPr>
                <w:rFonts w:ascii="Times New Roman" w:hAnsi="Times New Roman"/>
                <w:sz w:val="13"/>
              </w:rPr>
              <w:t>Protected transition before marriage.</w:t>
            </w:r>
          </w:p>
        </w:tc>
      </w:tr>
      <w:tr>
        <w:tc>
          <w:tcPr>
            <w:tcW w:type="dxa" w:w="3561"/>
            <w:vAlign w:val="top"/>
          </w:tcPr>
          <w:p>
            <w:pPr>
              <w:spacing w:after="0" w:line="223" w:lineRule="auto"/>
            </w:pPr>
            <w:r>
              <w:rPr>
                <w:rFonts w:ascii="Times New Roman" w:hAnsi="Times New Roman"/>
                <w:sz w:val="13"/>
              </w:rPr>
              <w:t>Deut. 21:14</w:t>
            </w:r>
          </w:p>
        </w:tc>
        <w:tc>
          <w:tcPr>
            <w:tcW w:type="dxa" w:w="3561"/>
            <w:vAlign w:val="top"/>
          </w:tcPr>
          <w:p>
            <w:pPr>
              <w:spacing w:after="0" w:line="223" w:lineRule="auto"/>
            </w:pPr>
            <w:r>
              <w:rPr>
                <w:rFonts w:ascii="Times New Roman" w:hAnsi="Times New Roman"/>
                <w:sz w:val="13"/>
              </w:rPr>
              <w:t>no sale</w:t>
            </w:r>
          </w:p>
        </w:tc>
        <w:tc>
          <w:tcPr>
            <w:tcW w:type="dxa" w:w="3561"/>
            <w:vAlign w:val="top"/>
          </w:tcPr>
          <w:p>
            <w:pPr>
              <w:spacing w:after="0" w:line="223" w:lineRule="auto"/>
            </w:pPr>
            <w:r>
              <w:rPr>
                <w:rFonts w:ascii="Times New Roman" w:hAnsi="Times New Roman"/>
                <w:sz w:val="13"/>
              </w:rPr>
              <w:t>Must release freely; cannot commodify her.</w:t>
            </w:r>
          </w:p>
        </w:tc>
      </w:tr>
      <w:tr>
        <w:tc>
          <w:tcPr>
            <w:tcW w:type="dxa" w:w="3561"/>
            <w:vAlign w:val="top"/>
          </w:tcPr>
          <w:p>
            <w:pPr>
              <w:spacing w:after="0" w:line="223" w:lineRule="auto"/>
            </w:pPr>
            <w:r>
              <w:rPr>
                <w:rFonts w:ascii="Times New Roman" w:hAnsi="Times New Roman"/>
                <w:sz w:val="13"/>
              </w:rPr>
              <w:t>Deut. 21:15</w:t>
            </w:r>
          </w:p>
        </w:tc>
        <w:tc>
          <w:tcPr>
            <w:tcW w:type="dxa" w:w="3561"/>
            <w:vAlign w:val="top"/>
          </w:tcPr>
          <w:p>
            <w:pPr>
              <w:spacing w:after="0" w:line="223" w:lineRule="auto"/>
            </w:pPr>
            <w:r>
              <w:rPr>
                <w:rFonts w:ascii="Times New Roman" w:hAnsi="Times New Roman"/>
                <w:sz w:val="13"/>
              </w:rPr>
              <w:t>senuah</w:t>
            </w:r>
          </w:p>
        </w:tc>
        <w:tc>
          <w:tcPr>
            <w:tcW w:type="dxa" w:w="3561"/>
            <w:vAlign w:val="top"/>
          </w:tcPr>
          <w:p>
            <w:pPr>
              <w:spacing w:after="0" w:line="223" w:lineRule="auto"/>
            </w:pPr>
            <w:r>
              <w:rPr>
                <w:rFonts w:ascii="Times New Roman" w:hAnsi="Times New Roman"/>
                <w:sz w:val="13"/>
              </w:rPr>
              <w:t>Hated/less loved in preference contrast.</w:t>
            </w:r>
          </w:p>
        </w:tc>
      </w:tr>
      <w:tr>
        <w:tc>
          <w:tcPr>
            <w:tcW w:type="dxa" w:w="3561"/>
            <w:vAlign w:val="top"/>
          </w:tcPr>
          <w:p>
            <w:pPr>
              <w:spacing w:after="0" w:line="223" w:lineRule="auto"/>
            </w:pPr>
            <w:r>
              <w:rPr>
                <w:rFonts w:ascii="Times New Roman" w:hAnsi="Times New Roman"/>
                <w:sz w:val="13"/>
              </w:rPr>
              <w:t>Deut. 21:17</w:t>
            </w:r>
          </w:p>
        </w:tc>
        <w:tc>
          <w:tcPr>
            <w:tcW w:type="dxa" w:w="3561"/>
            <w:vAlign w:val="top"/>
          </w:tcPr>
          <w:p>
            <w:pPr>
              <w:spacing w:after="0" w:line="223" w:lineRule="auto"/>
            </w:pPr>
            <w:r>
              <w:rPr>
                <w:rFonts w:ascii="Times New Roman" w:hAnsi="Times New Roman"/>
                <w:sz w:val="13"/>
              </w:rPr>
              <w:t>pi shenayim</w:t>
            </w:r>
          </w:p>
        </w:tc>
        <w:tc>
          <w:tcPr>
            <w:tcW w:type="dxa" w:w="3561"/>
            <w:vAlign w:val="top"/>
          </w:tcPr>
          <w:p>
            <w:pPr>
              <w:spacing w:after="0" w:line="223" w:lineRule="auto"/>
            </w:pPr>
            <w:r>
              <w:rPr>
                <w:rFonts w:ascii="Times New Roman" w:hAnsi="Times New Roman"/>
                <w:sz w:val="13"/>
              </w:rPr>
              <w:t>Double share / two portions.</w:t>
            </w:r>
          </w:p>
        </w:tc>
      </w:tr>
      <w:tr>
        <w:tc>
          <w:tcPr>
            <w:tcW w:type="dxa" w:w="3561"/>
            <w:vAlign w:val="top"/>
          </w:tcPr>
          <w:p>
            <w:pPr>
              <w:spacing w:after="0" w:line="223" w:lineRule="auto"/>
            </w:pPr>
            <w:r>
              <w:rPr>
                <w:rFonts w:ascii="Times New Roman" w:hAnsi="Times New Roman"/>
                <w:sz w:val="13"/>
              </w:rPr>
              <w:t>Deut. 21:18–20</w:t>
            </w:r>
          </w:p>
        </w:tc>
        <w:tc>
          <w:tcPr>
            <w:tcW w:type="dxa" w:w="3561"/>
            <w:vAlign w:val="top"/>
          </w:tcPr>
          <w:p>
            <w:pPr>
              <w:spacing w:after="0" w:line="223" w:lineRule="auto"/>
            </w:pPr>
            <w:r>
              <w:rPr>
                <w:rFonts w:ascii="Times New Roman" w:hAnsi="Times New Roman"/>
                <w:sz w:val="13"/>
              </w:rPr>
              <w:t>rebellious son</w:t>
            </w:r>
          </w:p>
        </w:tc>
        <w:tc>
          <w:tcPr>
            <w:tcW w:type="dxa" w:w="3561"/>
            <w:vAlign w:val="top"/>
          </w:tcPr>
          <w:p>
            <w:pPr>
              <w:spacing w:after="0" w:line="223" w:lineRule="auto"/>
            </w:pPr>
            <w:r>
              <w:rPr>
                <w:rFonts w:ascii="Times New Roman" w:hAnsi="Times New Roman"/>
                <w:sz w:val="13"/>
              </w:rPr>
              <w:t>Persistent pattern; both parents + elders.</w:t>
            </w:r>
          </w:p>
        </w:tc>
      </w:tr>
      <w:tr>
        <w:tc>
          <w:tcPr>
            <w:tcW w:type="dxa" w:w="3561"/>
            <w:vAlign w:val="top"/>
          </w:tcPr>
          <w:p>
            <w:pPr>
              <w:spacing w:after="0" w:line="223" w:lineRule="auto"/>
            </w:pPr>
            <w:r>
              <w:rPr>
                <w:rFonts w:ascii="Times New Roman" w:hAnsi="Times New Roman"/>
                <w:sz w:val="13"/>
              </w:rPr>
              <w:t>Deut. 21:22</w:t>
            </w:r>
          </w:p>
        </w:tc>
        <w:tc>
          <w:tcPr>
            <w:tcW w:type="dxa" w:w="3561"/>
            <w:vAlign w:val="top"/>
          </w:tcPr>
          <w:p>
            <w:pPr>
              <w:spacing w:after="0" w:line="223" w:lineRule="auto"/>
            </w:pPr>
            <w:r>
              <w:rPr>
                <w:rFonts w:ascii="Times New Roman" w:hAnsi="Times New Roman"/>
                <w:sz w:val="13"/>
              </w:rPr>
              <w:t>put to death + hang</w:t>
            </w:r>
          </w:p>
        </w:tc>
        <w:tc>
          <w:tcPr>
            <w:tcW w:type="dxa" w:w="3561"/>
            <w:vAlign w:val="top"/>
          </w:tcPr>
          <w:p>
            <w:pPr>
              <w:spacing w:after="0" w:line="223" w:lineRule="auto"/>
            </w:pPr>
            <w:r>
              <w:rPr>
                <w:rFonts w:ascii="Times New Roman" w:hAnsi="Times New Roman"/>
                <w:sz w:val="13"/>
              </w:rPr>
              <w:t>Post-execution exposure is natural sequence.</w:t>
            </w:r>
          </w:p>
        </w:tc>
      </w:tr>
      <w:tr>
        <w:tc>
          <w:tcPr>
            <w:tcW w:type="dxa" w:w="3561"/>
            <w:vAlign w:val="top"/>
          </w:tcPr>
          <w:p>
            <w:pPr>
              <w:spacing w:after="0" w:line="223" w:lineRule="auto"/>
            </w:pPr>
            <w:r>
              <w:rPr>
                <w:rFonts w:ascii="Times New Roman" w:hAnsi="Times New Roman"/>
                <w:sz w:val="13"/>
              </w:rPr>
              <w:t>Deut. 21:23</w:t>
            </w:r>
          </w:p>
        </w:tc>
        <w:tc>
          <w:tcPr>
            <w:tcW w:type="dxa" w:w="3561"/>
            <w:vAlign w:val="top"/>
          </w:tcPr>
          <w:p>
            <w:pPr>
              <w:spacing w:after="0" w:line="223" w:lineRule="auto"/>
            </w:pPr>
            <w:r>
              <w:rPr>
                <w:rFonts w:ascii="Times New Roman" w:hAnsi="Times New Roman"/>
                <w:sz w:val="13"/>
              </w:rPr>
              <w:t>same-day burial</w:t>
            </w:r>
          </w:p>
        </w:tc>
        <w:tc>
          <w:tcPr>
            <w:tcW w:type="dxa" w:w="3561"/>
            <w:vAlign w:val="top"/>
          </w:tcPr>
          <w:p>
            <w:pPr>
              <w:spacing w:after="0" w:line="223" w:lineRule="auto"/>
            </w:pPr>
            <w:r>
              <w:rPr>
                <w:rFonts w:ascii="Times New Roman" w:hAnsi="Times New Roman"/>
                <w:sz w:val="13"/>
              </w:rPr>
              <w:t>Land must not be defiled.</w:t>
            </w:r>
          </w:p>
        </w:tc>
      </w:tr>
      <w:tr>
        <w:tc>
          <w:tcPr>
            <w:tcW w:type="dxa" w:w="3561"/>
            <w:vAlign w:val="top"/>
          </w:tcPr>
          <w:p>
            <w:pPr>
              <w:spacing w:after="0" w:line="223" w:lineRule="auto"/>
            </w:pPr>
            <w:r>
              <w:rPr>
                <w:rFonts w:ascii="Times New Roman" w:hAnsi="Times New Roman"/>
                <w:sz w:val="13"/>
              </w:rPr>
              <w:t>Gal. 3:13</w:t>
            </w:r>
          </w:p>
        </w:tc>
        <w:tc>
          <w:tcPr>
            <w:tcW w:type="dxa" w:w="3561"/>
            <w:vAlign w:val="top"/>
          </w:tcPr>
          <w:p>
            <w:pPr>
              <w:spacing w:after="0" w:line="223" w:lineRule="auto"/>
            </w:pPr>
            <w:r>
              <w:rPr>
                <w:rFonts w:ascii="Times New Roman" w:hAnsi="Times New Roman"/>
                <w:sz w:val="13"/>
              </w:rPr>
              <w:t>tree curse</w:t>
            </w:r>
          </w:p>
        </w:tc>
        <w:tc>
          <w:tcPr>
            <w:tcW w:type="dxa" w:w="3561"/>
            <w:vAlign w:val="top"/>
          </w:tcPr>
          <w:p>
            <w:pPr>
              <w:spacing w:after="0" w:line="223" w:lineRule="auto"/>
            </w:pPr>
            <w:r>
              <w:rPr>
                <w:rFonts w:ascii="Times New Roman" w:hAnsi="Times New Roman"/>
                <w:sz w:val="13"/>
              </w:rPr>
              <w:t>Direct NT application to Christ.</w:t>
            </w:r>
          </w:p>
        </w:tc>
      </w:tr>
    </w:tbl>
    <w:p>
      <w:pPr>
        <w:pStyle w:val="Heading1"/>
      </w:pPr>
      <w:r>
        <w:t>RESIDUAL UNCERTAINTIES</w:t>
      </w:r>
    </w:p>
    <w:p>
      <w:pPr/>
      <w:r>
        <w:rPr>
          <w:i w:val="0"/>
        </w:rPr>
        <w:t>The topography of the unsolved-murder rite and the precise nail instruction for the captive woman remain debated. Mansfield’s detailed symbolic reconstruction of both sections is preserved only as typology. The sequence in verses 22–23 is kept explicit so that exposure of an executed body is not silently turned into execution by hanging.</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DEUTERONOMY 21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8"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4" w:after="11"/>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29" w:after="11"/>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