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22</w:t>
      </w:r>
    </w:p>
    <w:p>
      <w:pPr>
        <w:pStyle w:val="Subtitle"/>
      </w:pPr>
      <w:r>
        <w:t>DO NOT HIDE THYSELF • RETURN LOST PROPERTY • PRESERVE SEX-DISTINCT DRESS • SPARE THE MOTHER BIRD • BUILD A PARAPET • MIXTURE LAWS • TASSELS • SEXUAL ACCUSATION, CONSENT AND COERCION • FAMILY BOUNDARIES</w:t>
      </w:r>
    </w:p>
    <w:p>
      <w:pPr/>
      <w:r>
        <w:rPr>
          <w:i/>
        </w:rPr>
        <w:t>H. P. Mansfield Bible notes — checked and arranged in verse-by-verse Expositor style</w:t>
      </w:r>
    </w:p>
    <w:p>
      <w:pPr/>
      <w:r>
        <w:rPr>
          <w:i w:val="0"/>
        </w:rPr>
        <w:t>Source: HPB 04-Deu01-Jud04.PDF pp. 34–35; cross-checked with Mansfield’s Deuteronomy Expositor Chapter 22, Exodus 22 and Leviticus 19.</w:t>
      </w:r>
    </w:p>
    <w:p>
      <w:pPr>
        <w:pStyle w:val="Heading1"/>
      </w:pPr>
      <w:r>
        <w:t>CHAPTER OVERVIEW</w:t>
      </w:r>
    </w:p>
    <w:p>
      <w:pPr/>
      <w:r>
        <w:rPr>
          <w:i w:val="0"/>
        </w:rPr>
        <w:t>Deuteronomy 22 makes covenant holiness visible in ordinary responsibilities: lost property, animal welfare, roof safety, clothing, agriculture and sexual justice.</w:t>
      </w:r>
    </w:p>
    <w:p>
      <w:pPr/>
      <w:r>
        <w:rPr>
          <w:i w:val="0"/>
        </w:rPr>
        <w:t>The sexual laws distinguish false accusation, adultery, coercion and an unbetrothed woman’s case. The distinctions must be preserved carefully rather than flattening unlike situations into one category.</w:t>
      </w:r>
    </w:p>
    <w:p>
      <w:pPr>
        <w:pStyle w:val="Heading1"/>
      </w:pPr>
      <w:r>
        <w:t>A BROTHER’S LOST PROPERTY — DEUTERONOMY 22:1–4</w:t>
      </w:r>
    </w:p>
    <w:p>
      <w:pPr>
        <w:pStyle w:val="Heading2"/>
      </w:pPr>
      <w:r>
        <w:t>Deuteronomy 22:1–3 — do not hide yourself</w:t>
      </w:r>
    </w:p>
    <w:p>
      <w:pPr/>
      <w:r>
        <w:rPr>
          <w:i w:val="0"/>
        </w:rPr>
        <w:t>An Israelite who sees a brother’s lost ox, sheep, garment or other property must not ignore it. If the owner is not nearby or known, the property is kept safely until restored.</w:t>
      </w:r>
    </w:p>
    <w:p>
      <w:pPr/>
      <w:r>
        <w:rPr>
          <w:i w:val="0"/>
        </w:rPr>
        <w:t>The repeated command not to “hide thyself” means refusing to look away from a responsibility one has actually encountered.</w:t>
      </w:r>
    </w:p>
    <w:p>
      <w:pPr>
        <w:pStyle w:val="Heading2"/>
      </w:pPr>
      <w:r>
        <w:t>Deuteronomy 22:4 — help with a fallen animal</w:t>
      </w:r>
    </w:p>
    <w:p>
      <w:pPr/>
      <w:r>
        <w:rPr>
          <w:i w:val="0"/>
        </w:rPr>
        <w:t>A brother’s fallen ass or ox must not be ignored; practical assistance is required to raise it.</w:t>
      </w:r>
    </w:p>
    <w:p>
      <w:pPr/>
      <w:r>
        <w:rPr>
          <w:i w:val="0"/>
        </w:rPr>
        <w:t>Exodus 23:4–5 extends related aid even to an enemy’s animal, showing that the principle is broader than friendship.</w:t>
      </w:r>
    </w:p>
    <w:p>
      <w:pPr>
        <w:pStyle w:val="Heading1"/>
      </w:pPr>
      <w:r>
        <w:t>MALE AND FEMALE PRESENTATION — DEUTERONOMY 22:5</w:t>
      </w:r>
    </w:p>
    <w:p>
      <w:pPr>
        <w:pStyle w:val="Heading2"/>
      </w:pPr>
      <w:r>
        <w:t>Deuteronomy 22:5 — `keli gever` and `simlat ishshah`</w:t>
      </w:r>
    </w:p>
    <w:p>
      <w:pPr/>
      <w:r>
        <w:rPr>
          <w:i w:val="0"/>
        </w:rPr>
        <w:t>A woman is not to wear/use `keli gever`, an article/equipment pertaining to a man, and a man is not to put on a woman’s garment.</w:t>
      </w:r>
    </w:p>
    <w:p>
      <w:pPr/>
      <w:r>
        <w:rPr>
          <w:i w:val="0"/>
        </w:rPr>
        <w:t>The verse upholds sex-distinct presentation in Israel, but the first phrase is broader than one modern clothing word: `keli` can mean article, implement, equipment or clothing according to context. The law does not provide a timeless catalogue of which specific garments belong to each sex in every culture.</w:t>
      </w:r>
    </w:p>
    <w:p>
      <w:pPr>
        <w:pStyle w:val="Heading2"/>
      </w:pPr>
      <w:r>
        <w:t>Deuteronomy 22:5 — do not add unsupported ritual history</w:t>
      </w:r>
    </w:p>
    <w:p>
      <w:pPr/>
      <w:r>
        <w:rPr>
          <w:i w:val="0"/>
        </w:rPr>
        <w:t>Mansfield cites proposed Syrian pagan cross-dressing rites as the background. Such practices existed in some ancient cults, but the verse itself gives no historical explanation beyond Yahweh’s abhorrence of deliberately crossing the stated distinction.</w:t>
      </w:r>
    </w:p>
    <w:p>
      <w:pPr>
        <w:pStyle w:val="Heading1"/>
      </w:pPr>
      <w:r>
        <w:t>THE BIRD’S NEST — DEUTERONOMY 22:6–7</w:t>
      </w:r>
    </w:p>
    <w:p>
      <w:pPr>
        <w:pStyle w:val="Heading2"/>
      </w:pPr>
      <w:r>
        <w:t>Deuteronomy 22:6–7 — take young/eggs, release the mother</w:t>
      </w:r>
    </w:p>
    <w:p>
      <w:pPr/>
      <w:r>
        <w:rPr>
          <w:i w:val="0"/>
        </w:rPr>
        <w:t>If a mother bird is sitting on young or eggs, the mother is released if the young are taken.</w:t>
      </w:r>
    </w:p>
    <w:p>
      <w:pPr/>
      <w:r>
        <w:rPr>
          <w:i w:val="0"/>
        </w:rPr>
        <w:t>The law restrains total destruction of the breeding unit. Conservation is a reasonable implication, but the text does not explicitly say species preservation is its sole purpose.</w:t>
      </w:r>
    </w:p>
    <w:p>
      <w:pPr>
        <w:pStyle w:val="Heading1"/>
      </w:pPr>
      <w:r>
        <w:t>ROOF SAFETY — DEUTERONOMY 22:8</w:t>
      </w:r>
    </w:p>
    <w:p>
      <w:pPr>
        <w:pStyle w:val="Heading2"/>
      </w:pPr>
      <w:r>
        <w:t>Deuteronomy 22:8 — parapet/battlement</w:t>
      </w:r>
    </w:p>
    <w:p>
      <w:pPr/>
      <w:r>
        <w:rPr>
          <w:i w:val="0"/>
        </w:rPr>
        <w:t>A new house with an accessible flat roof must have a `ma‘aqeh`, parapet/guard, lest someone fall and bloodguilt come upon the house.</w:t>
      </w:r>
    </w:p>
    <w:p>
      <w:pPr/>
      <w:r>
        <w:rPr>
          <w:i w:val="0"/>
        </w:rPr>
        <w:t>The principle is straightforward responsibility for foreseeable preventable harm.</w:t>
      </w:r>
    </w:p>
    <w:p>
      <w:pPr>
        <w:pStyle w:val="Heading1"/>
      </w:pPr>
      <w:r>
        <w:t>MIXTURE LAWS AND TASSELS — DEUTERONOMY 22:9–12</w:t>
      </w:r>
    </w:p>
    <w:p>
      <w:pPr>
        <w:pStyle w:val="Heading2"/>
      </w:pPr>
      <w:r>
        <w:t>Deuteronomy 22:9 — mixed seed in a vineyard</w:t>
      </w:r>
    </w:p>
    <w:p>
      <w:pPr/>
      <w:r>
        <w:rPr>
          <w:i w:val="0"/>
        </w:rPr>
        <w:t>Israel must not sow a vineyard with two kinds of seed lest the produce become `tiqdash`.</w:t>
      </w:r>
    </w:p>
    <w:p>
      <w:pPr/>
      <w:r>
        <w:rPr>
          <w:i w:val="0"/>
        </w:rPr>
        <w:t>KJV “be defiled” is unusual because the Hebrew root is `q-d-sh`, become holy/consecrated; many understand the produce as forfeited or becoming taboo/sacred. The exact legal consequence is debated. Mansfield’s agricultural claim that mixed planting simply gives inferior crops does not explain the Hebrew wording.</w:t>
      </w:r>
    </w:p>
    <w:p>
      <w:pPr>
        <w:pStyle w:val="Heading2"/>
      </w:pPr>
      <w:r>
        <w:t>Deuteronomy 22:10 — ox and ass together</w:t>
      </w:r>
    </w:p>
    <w:p>
      <w:pPr/>
      <w:r>
        <w:rPr>
          <w:i w:val="0"/>
        </w:rPr>
        <w:t>An ox and donkey are not to plough together.</w:t>
      </w:r>
    </w:p>
    <w:p>
      <w:pPr/>
      <w:r>
        <w:rPr>
          <w:i w:val="0"/>
        </w:rPr>
        <w:t>The practical mismatch of animals is evident, and Paul’s “unequally yoked” language in 2 Corinthians 6:14 may echo the imagery, but Deuteronomy does not itself state a one-to-one ecclesial allegory.</w:t>
      </w:r>
    </w:p>
    <w:p>
      <w:pPr>
        <w:pStyle w:val="Heading2"/>
      </w:pPr>
      <w:r>
        <w:t>Deuteronomy 22:11 — `sha‘atnez`</w:t>
      </w:r>
    </w:p>
    <w:p>
      <w:pPr/>
      <w:r>
        <w:rPr>
          <w:i w:val="0"/>
        </w:rPr>
        <w:t>Israel must not wear cloth combining wool and linen together. The rare term `sha‘atnez` names this prohibited mixture; its etymology is uncertain.</w:t>
      </w:r>
    </w:p>
    <w:p>
      <w:pPr/>
      <w:r>
        <w:rPr>
          <w:i w:val="0"/>
        </w:rPr>
        <w:t>The reason is not explained in this verse. Separation typology is expositional, not the lexical meaning.</w:t>
      </w:r>
    </w:p>
    <w:p>
      <w:pPr>
        <w:pStyle w:val="Heading2"/>
      </w:pPr>
      <w:r>
        <w:t>Deuteronomy 22:12 — tassels</w:t>
      </w:r>
    </w:p>
    <w:p>
      <w:pPr/>
      <w:r>
        <w:rPr>
          <w:i w:val="0"/>
        </w:rPr>
        <w:t>Tassels/fringes (`gedilim`) are made on the four corners of the covering garment.</w:t>
      </w:r>
    </w:p>
    <w:p>
      <w:pPr/>
      <w:r>
        <w:rPr>
          <w:i w:val="0"/>
        </w:rPr>
        <w:t>Numbers 15:37–41 uses `tsitsit` for the memorial fringe with a blue cord. The two passages are naturally related, though they use different words.</w:t>
      </w:r>
    </w:p>
    <w:p>
      <w:pPr>
        <w:pStyle w:val="Heading1"/>
      </w:pPr>
      <w:r>
        <w:t>FALSE ACCUSATION AGAINST A BRIDE — DEUTERONOMY 22:13–21</w:t>
      </w:r>
    </w:p>
    <w:p>
      <w:pPr>
        <w:pStyle w:val="Heading2"/>
      </w:pPr>
      <w:r>
        <w:t>Deuteronomy 22:13–14 — malicious charge</w:t>
      </w:r>
    </w:p>
    <w:p>
      <w:pPr/>
      <w:r>
        <w:rPr>
          <w:i w:val="0"/>
        </w:rPr>
        <w:t>A husband who hates his new wife may accuse her publicly of not having been a virgin at marriage.</w:t>
      </w:r>
    </w:p>
    <w:p>
      <w:pPr>
        <w:pStyle w:val="Heading2"/>
      </w:pPr>
      <w:r>
        <w:t>Deuteronomy 22:15–17 — “tokens of virginity”</w:t>
      </w:r>
    </w:p>
    <w:p>
      <w:pPr/>
      <w:r>
        <w:rPr>
          <w:i w:val="0"/>
        </w:rPr>
        <w:t>The woman’s parents bring the `betulim` evidence before the elders and spread the cloth/garment as evidence.</w:t>
      </w:r>
    </w:p>
    <w:p>
      <w:pPr/>
      <w:r>
        <w:rPr>
          <w:i w:val="0"/>
        </w:rPr>
        <w:t>The traditional interpretation is a blood-stained wedding cloth, but the Hebrew does not explain the biological or evidential mechanism. It should not be treated as a medically infallible virginity test.</w:t>
      </w:r>
    </w:p>
    <w:p>
      <w:pPr>
        <w:pStyle w:val="Heading2"/>
      </w:pPr>
      <w:r>
        <w:t>Deuteronomy 22:18–19 — false accuser punished</w:t>
      </w:r>
    </w:p>
    <w:p>
      <w:pPr/>
      <w:r>
        <w:rPr>
          <w:i w:val="0"/>
        </w:rPr>
        <w:t>If the accusation is false, the husband is disciplined, fined one hundred shekels of silver to the woman’s father, and loses the right to divorce her.</w:t>
      </w:r>
    </w:p>
    <w:p>
      <w:pPr/>
      <w:r>
        <w:rPr>
          <w:i w:val="0"/>
        </w:rPr>
        <w:t>The law protects a wife from reputational and marital abuse by a malicious husband.</w:t>
      </w:r>
    </w:p>
    <w:p>
      <w:pPr>
        <w:pStyle w:val="Heading2"/>
      </w:pPr>
      <w:r>
        <w:t>Deuteronomy 22:20–21 — charge established</w:t>
      </w:r>
    </w:p>
    <w:p>
      <w:pPr/>
      <w:r>
        <w:rPr>
          <w:i w:val="0"/>
        </w:rPr>
        <w:t>If the charge is established under Israel’s ancient covenant law, the woman’s premarital sexual misconduct while under her father’s house receives the stated severe penalty.</w:t>
      </w:r>
    </w:p>
    <w:p>
      <w:pPr/>
      <w:r>
        <w:rPr>
          <w:i w:val="0"/>
        </w:rPr>
        <w:t>This theocratic civil penalty is not transferred to Christian communities.</w:t>
      </w:r>
    </w:p>
    <w:p>
      <w:pPr>
        <w:pStyle w:val="Heading1"/>
      </w:pPr>
      <w:r>
        <w:t>ADULTERY AND BETROTHED WOMAN — DEUTERONOMY 22:22–27</w:t>
      </w:r>
    </w:p>
    <w:p>
      <w:pPr>
        <w:pStyle w:val="Heading2"/>
      </w:pPr>
      <w:r>
        <w:t>Deuteronomy 22:22 — adultery</w:t>
      </w:r>
    </w:p>
    <w:p>
      <w:pPr/>
      <w:r>
        <w:rPr>
          <w:i w:val="0"/>
        </w:rPr>
        <w:t>Consensual adultery with another man’s wife brings judgment upon both parties under Israel’s law.</w:t>
      </w:r>
    </w:p>
    <w:p>
      <w:pPr>
        <w:pStyle w:val="Heading2"/>
      </w:pPr>
      <w:r>
        <w:t>Deuteronomy 22:23–24 — city case</w:t>
      </w:r>
    </w:p>
    <w:p>
      <w:pPr/>
      <w:r>
        <w:rPr>
          <w:i w:val="0"/>
        </w:rPr>
        <w:t>When a betrothed virgin and a man are found together in the city, the law describes a case in which no cry for help occurred and treats both as culpable.</w:t>
      </w:r>
    </w:p>
    <w:p>
      <w:pPr/>
      <w:r>
        <w:rPr>
          <w:i w:val="0"/>
        </w:rPr>
        <w:t>This is a legal scenario stated in the text, not a universal rule that absence of a heard cry always proves consent in every real-world assault.</w:t>
      </w:r>
    </w:p>
    <w:p>
      <w:pPr>
        <w:pStyle w:val="Heading2"/>
      </w:pPr>
      <w:r>
        <w:t>Deuteronomy 22:25–27 — field case and coercion</w:t>
      </w:r>
    </w:p>
    <w:p>
      <w:pPr/>
      <w:r>
        <w:rPr>
          <w:i w:val="0"/>
        </w:rPr>
        <w:t>If the man `chazaq`, seizes/overpowers, a betrothed woman in the field and lies with her, only the man dies. The woman has committed no sin worthy of death; the text compares her case to a victim attacked and murdered.</w:t>
      </w:r>
    </w:p>
    <w:p>
      <w:pPr/>
      <w:r>
        <w:rPr>
          <w:i w:val="0"/>
        </w:rPr>
        <w:t>The law explicitly protects the coerced woman from culpability and recognises that there may have been no rescuer even if she cried.</w:t>
      </w:r>
    </w:p>
    <w:p>
      <w:pPr>
        <w:pStyle w:val="Heading1"/>
      </w:pPr>
      <w:r>
        <w:t>THE UNBETROTHED VIRGIN — DEUTERONOMY 22:28–29</w:t>
      </w:r>
    </w:p>
    <w:p>
      <w:pPr>
        <w:pStyle w:val="Heading2"/>
      </w:pPr>
      <w:r>
        <w:t>Deuteronomy 22:28 — `taphas`, not the force verb of verse 25</w:t>
      </w:r>
    </w:p>
    <w:p>
      <w:pPr/>
      <w:r>
        <w:rPr>
          <w:i w:val="0"/>
        </w:rPr>
        <w:t>If a man finds an unbetrothed virgin, `taphas` her—takes hold/seizes her—and lies with her, and they are discovered, the stated marriage/payment law follows.</w:t>
      </w:r>
    </w:p>
    <w:p>
      <w:pPr/>
      <w:r>
        <w:rPr>
          <w:i w:val="0"/>
        </w:rPr>
        <w:t>The wording is debated. Verse 25 used the stronger `chazaq` for violent overpowering; verse 28 uses `taphas`, and the parallel law in Exodus 22:16 concerns seduction. Therefore it is too confident to label verses 28–29 simply “rape law.” The text describes illicit intercourse involving the man’s taking hold of an unbetrothed woman, but the exact degree of coercion is disputed.</w:t>
      </w:r>
    </w:p>
    <w:p>
      <w:pPr>
        <w:pStyle w:val="Heading2"/>
      </w:pPr>
      <w:r>
        <w:t>Deuteronomy 22:29 — financial and lifelong responsibility</w:t>
      </w:r>
    </w:p>
    <w:p>
      <w:pPr/>
      <w:r>
        <w:rPr>
          <w:i w:val="0"/>
        </w:rPr>
        <w:t>The man pays fifty shekels to her father and may not divorce her all his days because he has `‘innah` her, humbled/violated her.</w:t>
      </w:r>
    </w:p>
    <w:p>
      <w:pPr/>
      <w:r>
        <w:rPr>
          <w:i w:val="0"/>
        </w:rPr>
        <w:t>The law imposes lasting responsibility upon the man rather than allowing sexual exploitation followed by abandonment.</w:t>
      </w:r>
    </w:p>
    <w:p>
      <w:pPr>
        <w:pStyle w:val="Heading1"/>
      </w:pPr>
      <w:r>
        <w:t>FATHER’S WIFE — DEUTERONOMY 22:30</w:t>
      </w:r>
    </w:p>
    <w:p>
      <w:pPr>
        <w:pStyle w:val="Heading2"/>
      </w:pPr>
      <w:r>
        <w:t>Deuteronomy 22:30 — do not uncover father’s skirt</w:t>
      </w:r>
    </w:p>
    <w:p>
      <w:pPr/>
      <w:r>
        <w:rPr>
          <w:i w:val="0"/>
        </w:rPr>
        <w:t>A man must not take his father’s wife or uncover his father’s `kanaph`, wing/skirt.</w:t>
      </w:r>
    </w:p>
    <w:p>
      <w:pPr/>
      <w:r>
        <w:rPr>
          <w:i w:val="0"/>
        </w:rPr>
        <w:t>The idiom protects the father’s marital boundary and anticipates the incest prohibitions elsewhere in Torah.</w:t>
      </w:r>
    </w:p>
    <w:p>
      <w:pPr>
        <w:pStyle w:val="Heading1"/>
      </w:pPr>
      <w:r>
        <w:t>PRINCIPAL THEMES</w:t>
      </w:r>
    </w:p>
    <w:p>
      <w:pPr>
        <w:ind w:left="259" w:hanging="202"/>
      </w:pPr>
      <w:r>
        <w:rPr>
          <w:b/>
        </w:rPr>
        <w:t xml:space="preserve">• </w:t>
      </w:r>
      <w:r>
        <w:t>Neighbour-love includes active care for lost property and fallen animals.</w:t>
      </w:r>
    </w:p>
    <w:p>
      <w:pPr>
        <w:ind w:left="259" w:hanging="202"/>
      </w:pPr>
      <w:r>
        <w:rPr>
          <w:b/>
        </w:rPr>
        <w:t xml:space="preserve">• </w:t>
      </w:r>
      <w:r>
        <w:t>Deuteronomy 22:5 affirms sex-distinct presentation but does not define every culture’s garment catalogue.</w:t>
      </w:r>
    </w:p>
    <w:p>
      <w:pPr>
        <w:ind w:left="259" w:hanging="202"/>
      </w:pPr>
      <w:r>
        <w:rPr>
          <w:b/>
        </w:rPr>
        <w:t xml:space="preserve">• </w:t>
      </w:r>
      <w:r>
        <w:t>The bird-nest law restrains needless total taking; conservation is a sound implication rather than the only stated rationale.</w:t>
      </w:r>
    </w:p>
    <w:p>
      <w:pPr>
        <w:ind w:left="259" w:hanging="202"/>
      </w:pPr>
      <w:r>
        <w:rPr>
          <w:b/>
        </w:rPr>
        <w:t xml:space="preserve">• </w:t>
      </w:r>
      <w:r>
        <w:t>Roof parapets establish responsibility for foreseeable safety.</w:t>
      </w:r>
    </w:p>
    <w:p>
      <w:pPr>
        <w:ind w:left="259" w:hanging="202"/>
      </w:pPr>
      <w:r>
        <w:rPr>
          <w:b/>
        </w:rPr>
        <w:t xml:space="preserve">• </w:t>
      </w:r>
      <w:r>
        <w:t>`Tiqdash` in verse 9 is not well represented by a simple agricultural “defiled” explanation.</w:t>
      </w:r>
    </w:p>
    <w:p>
      <w:pPr>
        <w:ind w:left="259" w:hanging="202"/>
      </w:pPr>
      <w:r>
        <w:rPr>
          <w:b/>
        </w:rPr>
        <w:t xml:space="preserve">• </w:t>
      </w:r>
      <w:r>
        <w:t>`Sha‘atnez` is a prohibited wool-linen mixture whose etymology and rationale are not explained.</w:t>
      </w:r>
    </w:p>
    <w:p>
      <w:pPr>
        <w:ind w:left="259" w:hanging="202"/>
      </w:pPr>
      <w:r>
        <w:rPr>
          <w:b/>
        </w:rPr>
        <w:t xml:space="preserve">• </w:t>
      </w:r>
      <w:r>
        <w:t>The bride’s “tokens” should not be treated as an infallible biological virginity test.</w:t>
      </w:r>
    </w:p>
    <w:p>
      <w:pPr>
        <w:ind w:left="259" w:hanging="202"/>
      </w:pPr>
      <w:r>
        <w:rPr>
          <w:b/>
        </w:rPr>
        <w:t xml:space="preserve">• </w:t>
      </w:r>
      <w:r>
        <w:t>The city/field laws preserve a legal distinction between described consent and coercion; absence of a cry is not a universal diagnostic rule.</w:t>
      </w:r>
    </w:p>
    <w:p>
      <w:pPr>
        <w:ind w:left="259" w:hanging="202"/>
      </w:pPr>
      <w:r>
        <w:rPr>
          <w:b/>
        </w:rPr>
        <w:t xml:space="preserve">• </w:t>
      </w:r>
      <w:r>
        <w:t>Verse 25 explicitly exonerates the coerced woman.</w:t>
      </w:r>
    </w:p>
    <w:p>
      <w:pPr>
        <w:ind w:left="259" w:hanging="202"/>
      </w:pPr>
      <w:r>
        <w:rPr>
          <w:b/>
        </w:rPr>
        <w:t xml:space="preserve">• </w:t>
      </w:r>
      <w:r>
        <w:t>Verses 28–29 use different wording from the violent-force case and should not automatically be labelled rape.</w:t>
      </w:r>
    </w:p>
    <w:p>
      <w:pPr>
        <w:ind w:left="259" w:hanging="202"/>
      </w:pPr>
      <w:r>
        <w:rPr>
          <w:b/>
        </w:rPr>
        <w:t xml:space="preserve">• </w:t>
      </w:r>
      <w:r>
        <w:t>Sexual wrongdoing brings legal responsibility rather than permission to exploit and discard.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line="206" w:lineRule="auto"/>
            </w:pPr>
            <w:r>
              <w:rPr>
                <w:rFonts w:ascii="Arial" w:hAnsi="Arial"/>
                <w:b/>
                <w:sz w:val="14"/>
              </w:rPr>
              <w:t>Location</w:t>
            </w:r>
          </w:p>
        </w:tc>
        <w:tc>
          <w:tcPr>
            <w:tcW w:type="dxa" w:w="3561"/>
          </w:tcPr>
          <w:p>
            <w:pPr>
              <w:spacing w:after="0" w:line="206" w:lineRule="auto"/>
            </w:pPr>
            <w:r>
              <w:rPr>
                <w:rFonts w:ascii="Arial" w:hAnsi="Arial"/>
                <w:b/>
                <w:sz w:val="14"/>
              </w:rPr>
              <w:t>Checked / corrected reading</w:t>
            </w:r>
          </w:p>
        </w:tc>
        <w:tc>
          <w:tcPr>
            <w:tcW w:type="dxa" w:w="3561"/>
          </w:tcPr>
          <w:p>
            <w:pPr>
              <w:spacing w:after="0" w:line="206" w:lineRule="auto"/>
            </w:pPr>
            <w:r>
              <w:rPr>
                <w:rFonts w:ascii="Arial" w:hAnsi="Arial"/>
                <w:b/>
                <w:sz w:val="14"/>
              </w:rPr>
              <w:t>Basis</w:t>
            </w:r>
          </w:p>
        </w:tc>
      </w:tr>
      <w:tr>
        <w:tc>
          <w:tcPr>
            <w:tcW w:type="dxa" w:w="3561"/>
            <w:vAlign w:val="top"/>
          </w:tcPr>
          <w:p>
            <w:pPr>
              <w:spacing w:after="0" w:line="206" w:lineRule="auto"/>
            </w:pPr>
            <w:r>
              <w:rPr>
                <w:rFonts w:ascii="Times New Roman" w:hAnsi="Times New Roman"/>
                <w:sz w:val="12"/>
              </w:rPr>
              <w:t>Deut. 22:1–4</w:t>
            </w:r>
          </w:p>
        </w:tc>
        <w:tc>
          <w:tcPr>
            <w:tcW w:type="dxa" w:w="3561"/>
            <w:vAlign w:val="top"/>
          </w:tcPr>
          <w:p>
            <w:pPr>
              <w:spacing w:after="0" w:line="206" w:lineRule="auto"/>
            </w:pPr>
            <w:r>
              <w:rPr>
                <w:rFonts w:ascii="Times New Roman" w:hAnsi="Times New Roman"/>
                <w:sz w:val="12"/>
              </w:rPr>
              <w:t>do not hide yourself</w:t>
            </w:r>
          </w:p>
        </w:tc>
        <w:tc>
          <w:tcPr>
            <w:tcW w:type="dxa" w:w="3561"/>
            <w:vAlign w:val="top"/>
          </w:tcPr>
          <w:p>
            <w:pPr>
              <w:spacing w:after="0" w:line="206" w:lineRule="auto"/>
            </w:pPr>
            <w:r>
              <w:rPr>
                <w:rFonts w:ascii="Times New Roman" w:hAnsi="Times New Roman"/>
                <w:sz w:val="12"/>
              </w:rPr>
              <w:t>Active responsibility for another’s property/animal.</w:t>
            </w:r>
          </w:p>
        </w:tc>
      </w:tr>
      <w:tr>
        <w:tc>
          <w:tcPr>
            <w:tcW w:type="dxa" w:w="3561"/>
            <w:vAlign w:val="top"/>
          </w:tcPr>
          <w:p>
            <w:pPr>
              <w:spacing w:after="0" w:line="206" w:lineRule="auto"/>
            </w:pPr>
            <w:r>
              <w:rPr>
                <w:rFonts w:ascii="Times New Roman" w:hAnsi="Times New Roman"/>
                <w:sz w:val="12"/>
              </w:rPr>
              <w:t>Deut. 22:5</w:t>
            </w:r>
          </w:p>
        </w:tc>
        <w:tc>
          <w:tcPr>
            <w:tcW w:type="dxa" w:w="3561"/>
            <w:vAlign w:val="top"/>
          </w:tcPr>
          <w:p>
            <w:pPr>
              <w:spacing w:after="0" w:line="206" w:lineRule="auto"/>
            </w:pPr>
            <w:r>
              <w:rPr>
                <w:rFonts w:ascii="Times New Roman" w:hAnsi="Times New Roman"/>
                <w:sz w:val="12"/>
              </w:rPr>
              <w:t>keli gever</w:t>
            </w:r>
          </w:p>
        </w:tc>
        <w:tc>
          <w:tcPr>
            <w:tcW w:type="dxa" w:w="3561"/>
            <w:vAlign w:val="top"/>
          </w:tcPr>
          <w:p>
            <w:pPr>
              <w:spacing w:after="0" w:line="206" w:lineRule="auto"/>
            </w:pPr>
            <w:r>
              <w:rPr>
                <w:rFonts w:ascii="Times New Roman" w:hAnsi="Times New Roman"/>
                <w:sz w:val="12"/>
              </w:rPr>
              <w:t>Male article/equipment; broader than a single garment word.</w:t>
            </w:r>
          </w:p>
        </w:tc>
      </w:tr>
      <w:tr>
        <w:tc>
          <w:tcPr>
            <w:tcW w:type="dxa" w:w="3561"/>
            <w:vAlign w:val="top"/>
          </w:tcPr>
          <w:p>
            <w:pPr>
              <w:spacing w:after="0" w:line="206" w:lineRule="auto"/>
            </w:pPr>
            <w:r>
              <w:rPr>
                <w:rFonts w:ascii="Times New Roman" w:hAnsi="Times New Roman"/>
                <w:sz w:val="12"/>
              </w:rPr>
              <w:t>Deut. 22:5</w:t>
            </w:r>
          </w:p>
        </w:tc>
        <w:tc>
          <w:tcPr>
            <w:tcW w:type="dxa" w:w="3561"/>
            <w:vAlign w:val="top"/>
          </w:tcPr>
          <w:p>
            <w:pPr>
              <w:spacing w:after="0" w:line="206" w:lineRule="auto"/>
            </w:pPr>
            <w:r>
              <w:rPr>
                <w:rFonts w:ascii="Times New Roman" w:hAnsi="Times New Roman"/>
                <w:sz w:val="12"/>
              </w:rPr>
              <w:t>simlat ishshah</w:t>
            </w:r>
          </w:p>
        </w:tc>
        <w:tc>
          <w:tcPr>
            <w:tcW w:type="dxa" w:w="3561"/>
            <w:vAlign w:val="top"/>
          </w:tcPr>
          <w:p>
            <w:pPr>
              <w:spacing w:after="0" w:line="206" w:lineRule="auto"/>
            </w:pPr>
            <w:r>
              <w:rPr>
                <w:rFonts w:ascii="Times New Roman" w:hAnsi="Times New Roman"/>
                <w:sz w:val="12"/>
              </w:rPr>
              <w:t>Woman’s garment.</w:t>
            </w:r>
          </w:p>
        </w:tc>
      </w:tr>
      <w:tr>
        <w:tc>
          <w:tcPr>
            <w:tcW w:type="dxa" w:w="3561"/>
            <w:vAlign w:val="top"/>
          </w:tcPr>
          <w:p>
            <w:pPr>
              <w:spacing w:after="0" w:line="206" w:lineRule="auto"/>
            </w:pPr>
            <w:r>
              <w:rPr>
                <w:rFonts w:ascii="Times New Roman" w:hAnsi="Times New Roman"/>
                <w:sz w:val="12"/>
              </w:rPr>
              <w:t>Deut. 22:6–7</w:t>
            </w:r>
          </w:p>
        </w:tc>
        <w:tc>
          <w:tcPr>
            <w:tcW w:type="dxa" w:w="3561"/>
            <w:vAlign w:val="top"/>
          </w:tcPr>
          <w:p>
            <w:pPr>
              <w:spacing w:after="0" w:line="206" w:lineRule="auto"/>
            </w:pPr>
            <w:r>
              <w:rPr>
                <w:rFonts w:ascii="Times New Roman" w:hAnsi="Times New Roman"/>
                <w:sz w:val="12"/>
              </w:rPr>
              <w:t>release mother bird</w:t>
            </w:r>
          </w:p>
        </w:tc>
        <w:tc>
          <w:tcPr>
            <w:tcW w:type="dxa" w:w="3561"/>
            <w:vAlign w:val="top"/>
          </w:tcPr>
          <w:p>
            <w:pPr>
              <w:spacing w:after="0" w:line="206" w:lineRule="auto"/>
            </w:pPr>
            <w:r>
              <w:rPr>
                <w:rFonts w:ascii="Times New Roman" w:hAnsi="Times New Roman"/>
                <w:sz w:val="12"/>
              </w:rPr>
              <w:t>Restraint of total taking.</w:t>
            </w:r>
          </w:p>
        </w:tc>
      </w:tr>
      <w:tr>
        <w:tc>
          <w:tcPr>
            <w:tcW w:type="dxa" w:w="3561"/>
            <w:vAlign w:val="top"/>
          </w:tcPr>
          <w:p>
            <w:pPr>
              <w:spacing w:after="0" w:line="206" w:lineRule="auto"/>
            </w:pPr>
            <w:r>
              <w:rPr>
                <w:rFonts w:ascii="Times New Roman" w:hAnsi="Times New Roman"/>
                <w:sz w:val="12"/>
              </w:rPr>
              <w:t>Deut. 22:8</w:t>
            </w:r>
          </w:p>
        </w:tc>
        <w:tc>
          <w:tcPr>
            <w:tcW w:type="dxa" w:w="3561"/>
            <w:vAlign w:val="top"/>
          </w:tcPr>
          <w:p>
            <w:pPr>
              <w:spacing w:after="0" w:line="206" w:lineRule="auto"/>
            </w:pPr>
            <w:r>
              <w:rPr>
                <w:rFonts w:ascii="Times New Roman" w:hAnsi="Times New Roman"/>
                <w:sz w:val="12"/>
              </w:rPr>
              <w:t>ma‘aqeh</w:t>
            </w:r>
          </w:p>
        </w:tc>
        <w:tc>
          <w:tcPr>
            <w:tcW w:type="dxa" w:w="3561"/>
            <w:vAlign w:val="top"/>
          </w:tcPr>
          <w:p>
            <w:pPr>
              <w:spacing w:after="0" w:line="206" w:lineRule="auto"/>
            </w:pPr>
            <w:r>
              <w:rPr>
                <w:rFonts w:ascii="Times New Roman" w:hAnsi="Times New Roman"/>
                <w:sz w:val="12"/>
              </w:rPr>
              <w:t>Roof parapet/guard.</w:t>
            </w:r>
          </w:p>
        </w:tc>
      </w:tr>
      <w:tr>
        <w:tc>
          <w:tcPr>
            <w:tcW w:type="dxa" w:w="3561"/>
            <w:vAlign w:val="top"/>
          </w:tcPr>
          <w:p>
            <w:pPr>
              <w:spacing w:after="0" w:line="206" w:lineRule="auto"/>
            </w:pPr>
            <w:r>
              <w:rPr>
                <w:rFonts w:ascii="Times New Roman" w:hAnsi="Times New Roman"/>
                <w:sz w:val="12"/>
              </w:rPr>
              <w:t>Deut. 22:9</w:t>
            </w:r>
          </w:p>
        </w:tc>
        <w:tc>
          <w:tcPr>
            <w:tcW w:type="dxa" w:w="3561"/>
            <w:vAlign w:val="top"/>
          </w:tcPr>
          <w:p>
            <w:pPr>
              <w:spacing w:after="0" w:line="206" w:lineRule="auto"/>
            </w:pPr>
            <w:r>
              <w:rPr>
                <w:rFonts w:ascii="Times New Roman" w:hAnsi="Times New Roman"/>
                <w:sz w:val="12"/>
              </w:rPr>
              <w:t>tiqdash</w:t>
            </w:r>
          </w:p>
        </w:tc>
        <w:tc>
          <w:tcPr>
            <w:tcW w:type="dxa" w:w="3561"/>
            <w:vAlign w:val="top"/>
          </w:tcPr>
          <w:p>
            <w:pPr>
              <w:spacing w:after="0" w:line="206" w:lineRule="auto"/>
            </w:pPr>
            <w:r>
              <w:rPr>
                <w:rFonts w:ascii="Times New Roman" w:hAnsi="Times New Roman"/>
                <w:sz w:val="12"/>
              </w:rPr>
              <w:t>Become holy/forfeited/taboo; KJV “defiled” obscures root.</w:t>
            </w:r>
          </w:p>
        </w:tc>
      </w:tr>
      <w:tr>
        <w:tc>
          <w:tcPr>
            <w:tcW w:type="dxa" w:w="3561"/>
            <w:vAlign w:val="top"/>
          </w:tcPr>
          <w:p>
            <w:pPr>
              <w:spacing w:after="0" w:line="206" w:lineRule="auto"/>
            </w:pPr>
            <w:r>
              <w:rPr>
                <w:rFonts w:ascii="Times New Roman" w:hAnsi="Times New Roman"/>
                <w:sz w:val="12"/>
              </w:rPr>
              <w:t>Deut. 22:10</w:t>
            </w:r>
          </w:p>
        </w:tc>
        <w:tc>
          <w:tcPr>
            <w:tcW w:type="dxa" w:w="3561"/>
            <w:vAlign w:val="top"/>
          </w:tcPr>
          <w:p>
            <w:pPr>
              <w:spacing w:after="0" w:line="206" w:lineRule="auto"/>
            </w:pPr>
            <w:r>
              <w:rPr>
                <w:rFonts w:ascii="Times New Roman" w:hAnsi="Times New Roman"/>
                <w:sz w:val="12"/>
              </w:rPr>
              <w:t>ox + ass</w:t>
            </w:r>
          </w:p>
        </w:tc>
        <w:tc>
          <w:tcPr>
            <w:tcW w:type="dxa" w:w="3561"/>
            <w:vAlign w:val="top"/>
          </w:tcPr>
          <w:p>
            <w:pPr>
              <w:spacing w:after="0" w:line="206" w:lineRule="auto"/>
            </w:pPr>
            <w:r>
              <w:rPr>
                <w:rFonts w:ascii="Times New Roman" w:hAnsi="Times New Roman"/>
                <w:sz w:val="12"/>
              </w:rPr>
              <w:t>Mixed yoke prohibited.</w:t>
            </w:r>
          </w:p>
        </w:tc>
      </w:tr>
      <w:tr>
        <w:tc>
          <w:tcPr>
            <w:tcW w:type="dxa" w:w="3561"/>
            <w:vAlign w:val="top"/>
          </w:tcPr>
          <w:p>
            <w:pPr>
              <w:spacing w:after="0" w:line="206" w:lineRule="auto"/>
            </w:pPr>
            <w:r>
              <w:rPr>
                <w:rFonts w:ascii="Times New Roman" w:hAnsi="Times New Roman"/>
                <w:sz w:val="12"/>
              </w:rPr>
              <w:t>Deut. 22:11</w:t>
            </w:r>
          </w:p>
        </w:tc>
        <w:tc>
          <w:tcPr>
            <w:tcW w:type="dxa" w:w="3561"/>
            <w:vAlign w:val="top"/>
          </w:tcPr>
          <w:p>
            <w:pPr>
              <w:spacing w:after="0" w:line="206" w:lineRule="auto"/>
            </w:pPr>
            <w:r>
              <w:rPr>
                <w:rFonts w:ascii="Times New Roman" w:hAnsi="Times New Roman"/>
                <w:sz w:val="12"/>
              </w:rPr>
              <w:t>sha‘atnez</w:t>
            </w:r>
          </w:p>
        </w:tc>
        <w:tc>
          <w:tcPr>
            <w:tcW w:type="dxa" w:w="3561"/>
            <w:vAlign w:val="top"/>
          </w:tcPr>
          <w:p>
            <w:pPr>
              <w:spacing w:after="0" w:line="206" w:lineRule="auto"/>
            </w:pPr>
            <w:r>
              <w:rPr>
                <w:rFonts w:ascii="Times New Roman" w:hAnsi="Times New Roman"/>
                <w:sz w:val="12"/>
              </w:rPr>
              <w:t>Wool-linen mixture; etymology uncertain.</w:t>
            </w:r>
          </w:p>
        </w:tc>
      </w:tr>
      <w:tr>
        <w:tc>
          <w:tcPr>
            <w:tcW w:type="dxa" w:w="3561"/>
            <w:vAlign w:val="top"/>
          </w:tcPr>
          <w:p>
            <w:pPr>
              <w:spacing w:after="0" w:line="206" w:lineRule="auto"/>
            </w:pPr>
            <w:r>
              <w:rPr>
                <w:rFonts w:ascii="Times New Roman" w:hAnsi="Times New Roman"/>
                <w:sz w:val="12"/>
              </w:rPr>
              <w:t>Deut. 22:12</w:t>
            </w:r>
          </w:p>
        </w:tc>
        <w:tc>
          <w:tcPr>
            <w:tcW w:type="dxa" w:w="3561"/>
            <w:vAlign w:val="top"/>
          </w:tcPr>
          <w:p>
            <w:pPr>
              <w:spacing w:after="0" w:line="206" w:lineRule="auto"/>
            </w:pPr>
            <w:r>
              <w:rPr>
                <w:rFonts w:ascii="Times New Roman" w:hAnsi="Times New Roman"/>
                <w:sz w:val="12"/>
              </w:rPr>
              <w:t>gedilim</w:t>
            </w:r>
          </w:p>
        </w:tc>
        <w:tc>
          <w:tcPr>
            <w:tcW w:type="dxa" w:w="3561"/>
            <w:vAlign w:val="top"/>
          </w:tcPr>
          <w:p>
            <w:pPr>
              <w:spacing w:after="0" w:line="206" w:lineRule="auto"/>
            </w:pPr>
            <w:r>
              <w:rPr>
                <w:rFonts w:ascii="Times New Roman" w:hAnsi="Times New Roman"/>
                <w:sz w:val="12"/>
              </w:rPr>
              <w:t>Tassels/fringes; compare Num. 15 `tsitsit`.</w:t>
            </w:r>
          </w:p>
        </w:tc>
      </w:tr>
      <w:tr>
        <w:tc>
          <w:tcPr>
            <w:tcW w:type="dxa" w:w="3561"/>
            <w:vAlign w:val="top"/>
          </w:tcPr>
          <w:p>
            <w:pPr>
              <w:spacing w:after="0" w:line="206" w:lineRule="auto"/>
            </w:pPr>
            <w:r>
              <w:rPr>
                <w:rFonts w:ascii="Times New Roman" w:hAnsi="Times New Roman"/>
                <w:sz w:val="12"/>
              </w:rPr>
              <w:t>Deut. 22:15–17</w:t>
            </w:r>
          </w:p>
        </w:tc>
        <w:tc>
          <w:tcPr>
            <w:tcW w:type="dxa" w:w="3561"/>
            <w:vAlign w:val="top"/>
          </w:tcPr>
          <w:p>
            <w:pPr>
              <w:spacing w:after="0" w:line="206" w:lineRule="auto"/>
            </w:pPr>
            <w:r>
              <w:rPr>
                <w:rFonts w:ascii="Times New Roman" w:hAnsi="Times New Roman"/>
                <w:sz w:val="12"/>
              </w:rPr>
              <w:t>betulim evidence</w:t>
            </w:r>
          </w:p>
        </w:tc>
        <w:tc>
          <w:tcPr>
            <w:tcW w:type="dxa" w:w="3561"/>
            <w:vAlign w:val="top"/>
          </w:tcPr>
          <w:p>
            <w:pPr>
              <w:spacing w:after="0" w:line="206" w:lineRule="auto"/>
            </w:pPr>
            <w:r>
              <w:rPr>
                <w:rFonts w:ascii="Times New Roman" w:hAnsi="Times New Roman"/>
                <w:sz w:val="12"/>
              </w:rPr>
              <w:t>Traditional wedding-cloth interpretation; mechanism unstated.</w:t>
            </w:r>
          </w:p>
        </w:tc>
      </w:tr>
      <w:tr>
        <w:tc>
          <w:tcPr>
            <w:tcW w:type="dxa" w:w="3561"/>
            <w:vAlign w:val="top"/>
          </w:tcPr>
          <w:p>
            <w:pPr>
              <w:spacing w:after="0" w:line="206" w:lineRule="auto"/>
            </w:pPr>
            <w:r>
              <w:rPr>
                <w:rFonts w:ascii="Times New Roman" w:hAnsi="Times New Roman"/>
                <w:sz w:val="12"/>
              </w:rPr>
              <w:t>Deut. 22:18–19</w:t>
            </w:r>
          </w:p>
        </w:tc>
        <w:tc>
          <w:tcPr>
            <w:tcW w:type="dxa" w:w="3561"/>
            <w:vAlign w:val="top"/>
          </w:tcPr>
          <w:p>
            <w:pPr>
              <w:spacing w:after="0" w:line="206" w:lineRule="auto"/>
            </w:pPr>
            <w:r>
              <w:rPr>
                <w:rFonts w:ascii="Times New Roman" w:hAnsi="Times New Roman"/>
                <w:sz w:val="12"/>
              </w:rPr>
              <w:t>false accusation</w:t>
            </w:r>
          </w:p>
        </w:tc>
        <w:tc>
          <w:tcPr>
            <w:tcW w:type="dxa" w:w="3561"/>
            <w:vAlign w:val="top"/>
          </w:tcPr>
          <w:p>
            <w:pPr>
              <w:spacing w:after="0" w:line="206" w:lineRule="auto"/>
            </w:pPr>
            <w:r>
              <w:rPr>
                <w:rFonts w:ascii="Times New Roman" w:hAnsi="Times New Roman"/>
                <w:sz w:val="12"/>
              </w:rPr>
              <w:t>Fine + no future divorce.</w:t>
            </w:r>
          </w:p>
        </w:tc>
      </w:tr>
      <w:tr>
        <w:tc>
          <w:tcPr>
            <w:tcW w:type="dxa" w:w="3561"/>
            <w:vAlign w:val="top"/>
          </w:tcPr>
          <w:p>
            <w:pPr>
              <w:spacing w:after="0" w:line="206" w:lineRule="auto"/>
            </w:pPr>
            <w:r>
              <w:rPr>
                <w:rFonts w:ascii="Times New Roman" w:hAnsi="Times New Roman"/>
                <w:sz w:val="12"/>
              </w:rPr>
              <w:t>Deut. 22:23–24</w:t>
            </w:r>
          </w:p>
        </w:tc>
        <w:tc>
          <w:tcPr>
            <w:tcW w:type="dxa" w:w="3561"/>
            <w:vAlign w:val="top"/>
          </w:tcPr>
          <w:p>
            <w:pPr>
              <w:spacing w:after="0" w:line="206" w:lineRule="auto"/>
            </w:pPr>
            <w:r>
              <w:rPr>
                <w:rFonts w:ascii="Times New Roman" w:hAnsi="Times New Roman"/>
                <w:sz w:val="12"/>
              </w:rPr>
              <w:t>city scenario</w:t>
            </w:r>
          </w:p>
        </w:tc>
        <w:tc>
          <w:tcPr>
            <w:tcW w:type="dxa" w:w="3561"/>
            <w:vAlign w:val="top"/>
          </w:tcPr>
          <w:p>
            <w:pPr>
              <w:spacing w:after="0" w:line="206" w:lineRule="auto"/>
            </w:pPr>
            <w:r>
              <w:rPr>
                <w:rFonts w:ascii="Times New Roman" w:hAnsi="Times New Roman"/>
                <w:sz w:val="12"/>
              </w:rPr>
              <w:t>No cry in described case; do not universalise.</w:t>
            </w:r>
          </w:p>
        </w:tc>
      </w:tr>
      <w:tr>
        <w:tc>
          <w:tcPr>
            <w:tcW w:type="dxa" w:w="3561"/>
            <w:vAlign w:val="top"/>
          </w:tcPr>
          <w:p>
            <w:pPr>
              <w:spacing w:after="0" w:line="206" w:lineRule="auto"/>
            </w:pPr>
            <w:r>
              <w:rPr>
                <w:rFonts w:ascii="Times New Roman" w:hAnsi="Times New Roman"/>
                <w:sz w:val="12"/>
              </w:rPr>
              <w:t>Deut. 22:25–27</w:t>
            </w:r>
          </w:p>
        </w:tc>
        <w:tc>
          <w:tcPr>
            <w:tcW w:type="dxa" w:w="3561"/>
            <w:vAlign w:val="top"/>
          </w:tcPr>
          <w:p>
            <w:pPr>
              <w:spacing w:after="0" w:line="206" w:lineRule="auto"/>
            </w:pPr>
            <w:r>
              <w:rPr>
                <w:rFonts w:ascii="Times New Roman" w:hAnsi="Times New Roman"/>
                <w:sz w:val="12"/>
              </w:rPr>
              <w:t>chazaq</w:t>
            </w:r>
          </w:p>
        </w:tc>
        <w:tc>
          <w:tcPr>
            <w:tcW w:type="dxa" w:w="3561"/>
            <w:vAlign w:val="top"/>
          </w:tcPr>
          <w:p>
            <w:pPr>
              <w:spacing w:after="0" w:line="206" w:lineRule="auto"/>
            </w:pPr>
            <w:r>
              <w:rPr>
                <w:rFonts w:ascii="Times New Roman" w:hAnsi="Times New Roman"/>
                <w:sz w:val="12"/>
              </w:rPr>
              <w:t>Violent seizing/overpowering; woman innocent.</w:t>
            </w:r>
          </w:p>
        </w:tc>
      </w:tr>
      <w:tr>
        <w:tc>
          <w:tcPr>
            <w:tcW w:type="dxa" w:w="3561"/>
            <w:vAlign w:val="top"/>
          </w:tcPr>
          <w:p>
            <w:pPr>
              <w:spacing w:after="0" w:line="206" w:lineRule="auto"/>
            </w:pPr>
            <w:r>
              <w:rPr>
                <w:rFonts w:ascii="Times New Roman" w:hAnsi="Times New Roman"/>
                <w:sz w:val="12"/>
              </w:rPr>
              <w:t>Deut. 22:28</w:t>
            </w:r>
          </w:p>
        </w:tc>
        <w:tc>
          <w:tcPr>
            <w:tcW w:type="dxa" w:w="3561"/>
            <w:vAlign w:val="top"/>
          </w:tcPr>
          <w:p>
            <w:pPr>
              <w:spacing w:after="0" w:line="206" w:lineRule="auto"/>
            </w:pPr>
            <w:r>
              <w:rPr>
                <w:rFonts w:ascii="Times New Roman" w:hAnsi="Times New Roman"/>
                <w:sz w:val="12"/>
              </w:rPr>
              <w:t>taphas</w:t>
            </w:r>
          </w:p>
        </w:tc>
        <w:tc>
          <w:tcPr>
            <w:tcW w:type="dxa" w:w="3561"/>
            <w:vAlign w:val="top"/>
          </w:tcPr>
          <w:p>
            <w:pPr>
              <w:spacing w:after="0" w:line="206" w:lineRule="auto"/>
            </w:pPr>
            <w:r>
              <w:rPr>
                <w:rFonts w:ascii="Times New Roman" w:hAnsi="Times New Roman"/>
                <w:sz w:val="12"/>
              </w:rPr>
              <w:t>Take hold/seize; exact coercive force debated.</w:t>
            </w:r>
          </w:p>
        </w:tc>
      </w:tr>
      <w:tr>
        <w:tc>
          <w:tcPr>
            <w:tcW w:type="dxa" w:w="3561"/>
            <w:vAlign w:val="top"/>
          </w:tcPr>
          <w:p>
            <w:pPr>
              <w:spacing w:after="0" w:line="206" w:lineRule="auto"/>
            </w:pPr>
            <w:r>
              <w:rPr>
                <w:rFonts w:ascii="Times New Roman" w:hAnsi="Times New Roman"/>
                <w:sz w:val="12"/>
              </w:rPr>
              <w:t>Ex. 22:16</w:t>
            </w:r>
          </w:p>
        </w:tc>
        <w:tc>
          <w:tcPr>
            <w:tcW w:type="dxa" w:w="3561"/>
            <w:vAlign w:val="top"/>
          </w:tcPr>
          <w:p>
            <w:pPr>
              <w:spacing w:after="0" w:line="206" w:lineRule="auto"/>
            </w:pPr>
            <w:r>
              <w:rPr>
                <w:rFonts w:ascii="Times New Roman" w:hAnsi="Times New Roman"/>
                <w:sz w:val="12"/>
              </w:rPr>
              <w:t>seduction parallel</w:t>
            </w:r>
          </w:p>
        </w:tc>
        <w:tc>
          <w:tcPr>
            <w:tcW w:type="dxa" w:w="3561"/>
            <w:vAlign w:val="top"/>
          </w:tcPr>
          <w:p>
            <w:pPr>
              <w:spacing w:after="0" w:line="206" w:lineRule="auto"/>
            </w:pPr>
            <w:r>
              <w:rPr>
                <w:rFonts w:ascii="Times New Roman" w:hAnsi="Times New Roman"/>
                <w:sz w:val="12"/>
              </w:rPr>
              <w:t>Important comparison for unbetrothed case.</w:t>
            </w:r>
          </w:p>
        </w:tc>
      </w:tr>
      <w:tr>
        <w:tc>
          <w:tcPr>
            <w:tcW w:type="dxa" w:w="3561"/>
            <w:vAlign w:val="top"/>
          </w:tcPr>
          <w:p>
            <w:pPr>
              <w:spacing w:after="0" w:line="206" w:lineRule="auto"/>
            </w:pPr>
            <w:r>
              <w:rPr>
                <w:rFonts w:ascii="Times New Roman" w:hAnsi="Times New Roman"/>
                <w:sz w:val="12"/>
              </w:rPr>
              <w:t>Deut. 22:29</w:t>
            </w:r>
          </w:p>
        </w:tc>
        <w:tc>
          <w:tcPr>
            <w:tcW w:type="dxa" w:w="3561"/>
            <w:vAlign w:val="top"/>
          </w:tcPr>
          <w:p>
            <w:pPr>
              <w:spacing w:after="0" w:line="206" w:lineRule="auto"/>
            </w:pPr>
            <w:r>
              <w:rPr>
                <w:rFonts w:ascii="Times New Roman" w:hAnsi="Times New Roman"/>
                <w:sz w:val="12"/>
              </w:rPr>
              <w:t>‘innah</w:t>
            </w:r>
          </w:p>
        </w:tc>
        <w:tc>
          <w:tcPr>
            <w:tcW w:type="dxa" w:w="3561"/>
            <w:vAlign w:val="top"/>
          </w:tcPr>
          <w:p>
            <w:pPr>
              <w:spacing w:after="0" w:line="206" w:lineRule="auto"/>
            </w:pPr>
            <w:r>
              <w:rPr>
                <w:rFonts w:ascii="Times New Roman" w:hAnsi="Times New Roman"/>
                <w:sz w:val="12"/>
              </w:rPr>
              <w:t>Humble/violate; man bears lasting responsibility.</w:t>
            </w:r>
          </w:p>
        </w:tc>
      </w:tr>
      <w:tr>
        <w:tc>
          <w:tcPr>
            <w:tcW w:type="dxa" w:w="3561"/>
            <w:vAlign w:val="top"/>
          </w:tcPr>
          <w:p>
            <w:pPr>
              <w:spacing w:after="0" w:line="206" w:lineRule="auto"/>
            </w:pPr>
            <w:r>
              <w:rPr>
                <w:rFonts w:ascii="Times New Roman" w:hAnsi="Times New Roman"/>
                <w:sz w:val="12"/>
              </w:rPr>
              <w:t>Deut. 22:30</w:t>
            </w:r>
          </w:p>
        </w:tc>
        <w:tc>
          <w:tcPr>
            <w:tcW w:type="dxa" w:w="3561"/>
            <w:vAlign w:val="top"/>
          </w:tcPr>
          <w:p>
            <w:pPr>
              <w:spacing w:after="0" w:line="206" w:lineRule="auto"/>
            </w:pPr>
            <w:r>
              <w:rPr>
                <w:rFonts w:ascii="Times New Roman" w:hAnsi="Times New Roman"/>
                <w:sz w:val="12"/>
              </w:rPr>
              <w:t>kanaph</w:t>
            </w:r>
          </w:p>
        </w:tc>
        <w:tc>
          <w:tcPr>
            <w:tcW w:type="dxa" w:w="3561"/>
            <w:vAlign w:val="top"/>
          </w:tcPr>
          <w:p>
            <w:pPr>
              <w:spacing w:after="0" w:line="206" w:lineRule="auto"/>
            </w:pPr>
            <w:r>
              <w:rPr>
                <w:rFonts w:ascii="Times New Roman" w:hAnsi="Times New Roman"/>
                <w:sz w:val="12"/>
              </w:rPr>
              <w:t>Wing/skirt; father’s marital boundary.</w:t>
            </w:r>
          </w:p>
        </w:tc>
      </w:tr>
    </w:tbl>
    <w:p>
      <w:pPr>
        <w:pStyle w:val="Heading1"/>
      </w:pPr>
      <w:r>
        <w:t>RESIDUAL UNCERTAINTIES</w:t>
      </w:r>
    </w:p>
    <w:p>
      <w:pPr/>
      <w:r>
        <w:rPr>
          <w:i w:val="0"/>
        </w:rPr>
        <w:t>The exact cultural scope of the clothing distinction, the legal effect of mixed vineyard seed, the nature of the bride’s evidence and the degree of coercion implied by `taphas` in verse 28 remain debated. The document keeps the distinctions actually made by the Hebrew text and avoids stronger modern labels where the wording is not decisive.</w:t>
      </w:r>
    </w:p>
    <w:sectPr w:rsidR="00FC693F" w:rsidRPr="0006063C" w:rsidSect="00034616">
      <w:headerReference w:type="default" r:id="rId9"/>
      <w:footerReference w:type="default" r:id="rId10"/>
      <w:pgSz w:w="12240" w:h="15840"/>
      <w:pgMar w:top="691" w:right="778" w:bottom="691"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 w:line="233"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7"/>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1" w:after="7"/>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