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23</w:t>
      </w:r>
    </w:p>
    <w:p>
      <w:pPr>
        <w:pStyle w:val="Subtitle"/>
      </w:pPr>
      <w:r>
        <w:t>HOLINESS OF YAHWEH’S ASSEMBLY AND CAMP • AMMON AND MOAB REMEMBERED • EDOM AND EGYPT TREATED DIFFERENTLY • CAMP SANITATION • PROTECT THE FUGITIVE SLAVE • NO CULT PROSTITUTION • INTEREST, VOWS AND NEIGHBOURLY PRODUCE</w:t>
      </w:r>
    </w:p>
    <w:p>
      <w:pPr/>
      <w:r>
        <w:rPr>
          <w:i/>
        </w:rPr>
        <w:t>H. P. Mansfield Bible notes — checked and arranged in verse-by-verse Expositor style</w:t>
      </w:r>
    </w:p>
    <w:p>
      <w:pPr/>
      <w:r>
        <w:rPr>
          <w:i w:val="0"/>
        </w:rPr>
        <w:t>Source: HPB 04-Deu01-Jud04.PDF principally p. 36; cross-checked with Mansfield’s Deuteronomy Expositor Chapter 23, Numbers 22–24 and Isaiah 56.</w:t>
      </w:r>
    </w:p>
    <w:p>
      <w:pPr>
        <w:pStyle w:val="Heading1"/>
      </w:pPr>
      <w:r>
        <w:t>CHAPTER OVERVIEW</w:t>
      </w:r>
    </w:p>
    <w:p>
      <w:pPr/>
      <w:r>
        <w:rPr>
          <w:i w:val="0"/>
        </w:rPr>
        <w:t>Deuteronomy 23 regulates access, camp holiness and neighbourly conduct because Yahweh dwells among His covenant people. The chapter moves from difficult assembly exclusions to sanitation, protection of an escaped slave, sexual holiness, finance, vows and humane access to food.</w:t>
      </w:r>
    </w:p>
    <w:p>
      <w:pPr/>
      <w:r>
        <w:rPr>
          <w:i w:val="0"/>
        </w:rPr>
        <w:t>Several opening terms are historically difficult. The exposition therefore keeps the exclusions as Israelite covenant law without converting uncertain categories into speculative genealogical theories.</w:t>
      </w:r>
    </w:p>
    <w:p>
      <w:pPr>
        <w:pStyle w:val="Heading1"/>
      </w:pPr>
      <w:r>
        <w:t>THE ASSEMBLY OF YAHWEH — DEUTERONOMY 23:1–8</w:t>
      </w:r>
    </w:p>
    <w:p>
      <w:pPr>
        <w:pStyle w:val="Heading2"/>
      </w:pPr>
      <w:r>
        <w:t>Deuteronomy 23:1 — emasculated male</w:t>
      </w:r>
    </w:p>
    <w:p>
      <w:pPr/>
      <w:r>
        <w:rPr>
          <w:i w:val="0"/>
        </w:rPr>
        <w:t>A male whose reproductive organs have been crushed or cut is excluded from entering the `qahal Yahweh` under this covenant regulation.</w:t>
      </w:r>
    </w:p>
    <w:p>
      <w:pPr/>
      <w:r>
        <w:rPr>
          <w:i w:val="0"/>
        </w:rPr>
        <w:t>`Qahal` means assembly/congregation. Mansfield’s claim that it specifically means only Israel’s inner ruling council or eldership is not established by the word itself. Isaiah 56:3–5 later explicitly assures faithful eunuchs of honoured acceptance by Yahweh, showing that this verse must not be treated as a statement of spiritual worthlessness.</w:t>
      </w:r>
    </w:p>
    <w:p>
      <w:pPr>
        <w:pStyle w:val="Heading2"/>
      </w:pPr>
      <w:r>
        <w:t>Deuteronomy 23:2 — `mamzer`</w:t>
      </w:r>
    </w:p>
    <w:p>
      <w:pPr/>
      <w:r>
        <w:rPr>
          <w:i w:val="0"/>
        </w:rPr>
        <w:t>A `mamzer` and descendants to the tenth generation are excluded from the assembly.</w:t>
      </w:r>
    </w:p>
    <w:p>
      <w:pPr/>
      <w:r>
        <w:rPr>
          <w:i w:val="0"/>
        </w:rPr>
        <w:t>The exact meaning of `mamzer` is uncertain; “one born of a forbidden union” is a common interpretation. Mansfield’s attempt to identify Perez as a `mamzer` and use a ten-generation count to explain why Saul preceded David is highly speculative and not stated by Scripture.</w:t>
      </w:r>
    </w:p>
    <w:p>
      <w:pPr>
        <w:pStyle w:val="Heading2"/>
      </w:pPr>
      <w:r>
        <w:t>Deuteronomy 23:3–5 — Ammon and Moab</w:t>
      </w:r>
    </w:p>
    <w:p>
      <w:pPr/>
      <w:r>
        <w:rPr>
          <w:i w:val="0"/>
        </w:rPr>
        <w:t>Ammonite and Moabite males/national lines are excluded “even to the tenth generation … for ever” because their peoples did not meet Israel with bread and water and because Moab hired Balaam to curse Israel.</w:t>
      </w:r>
    </w:p>
    <w:p>
      <w:pPr/>
      <w:r>
        <w:rPr>
          <w:i w:val="0"/>
        </w:rPr>
        <w:t>Yahweh nevertheless turned the curse into blessing because He loved Israel.</w:t>
      </w:r>
    </w:p>
    <w:p>
      <w:pPr>
        <w:pStyle w:val="Heading2"/>
      </w:pPr>
      <w:r>
        <w:t>Ruth and the Moabite question</w:t>
      </w:r>
    </w:p>
    <w:p>
      <w:pPr/>
      <w:r>
        <w:rPr>
          <w:i w:val="0"/>
        </w:rPr>
        <w:t>Ruth the Moabitess becomes a faithful member of Israel and ancestor of David. Jewish interpretation later commonly restricted the Deuteronomy exclusion to Moabite males; other explanations distinguish assembly status from ordinary covenant membership.</w:t>
      </w:r>
    </w:p>
    <w:p>
      <w:pPr/>
      <w:r>
        <w:rPr>
          <w:i w:val="0"/>
        </w:rPr>
        <w:t>The Torah text does not itself pause here to solve the Ruth question, so Mansfield’s specific “inner council only” explanation should not be asserted as the one proven solution.</w:t>
      </w:r>
    </w:p>
    <w:p>
      <w:pPr>
        <w:pStyle w:val="Heading2"/>
      </w:pPr>
      <w:r>
        <w:t>Deuteronomy 23:6 — no seeking their peace/prosperity</w:t>
      </w:r>
    </w:p>
    <w:p>
      <w:pPr/>
      <w:r>
        <w:rPr>
          <w:i w:val="0"/>
        </w:rPr>
        <w:t>Israel is not to seek Ammonite/Moabite peace or prosperity within the stated covenant-national relationship.</w:t>
      </w:r>
    </w:p>
    <w:p>
      <w:pPr/>
      <w:r>
        <w:rPr>
          <w:i w:val="0"/>
        </w:rPr>
        <w:t>This does not authorise personal hatred of individual foreigners; the book itself has repeatedly required justice and compassion toward resident strangers.</w:t>
      </w:r>
    </w:p>
    <w:p>
      <w:pPr>
        <w:pStyle w:val="Heading2"/>
      </w:pPr>
      <w:r>
        <w:t>Deuteronomy 23:7–8 — Edom and Egypt</w:t>
      </w:r>
    </w:p>
    <w:p>
      <w:pPr/>
      <w:r>
        <w:rPr>
          <w:i w:val="0"/>
        </w:rPr>
        <w:t>Israel must not abhor Edom because Edom is a brother people, nor Egypt because Israel once lived there as a stranger. Their third generation may enter the assembly.</w:t>
      </w:r>
    </w:p>
    <w:p>
      <w:pPr/>
      <w:r>
        <w:rPr>
          <w:i w:val="0"/>
        </w:rPr>
        <w:t>The instruction preserves memory of kinship and received hospitality despite later hostility.</w:t>
      </w:r>
    </w:p>
    <w:p>
      <w:pPr>
        <w:pStyle w:val="Heading1"/>
      </w:pPr>
      <w:r>
        <w:t>HOLINESS OF THE WAR CAMP — DEUTERONOMY 23:9–14</w:t>
      </w:r>
    </w:p>
    <w:p>
      <w:pPr>
        <w:pStyle w:val="Heading2"/>
      </w:pPr>
      <w:r>
        <w:t>Deuteronomy 23:9 — keep from every evil thing</w:t>
      </w:r>
    </w:p>
    <w:p>
      <w:pPr/>
      <w:r>
        <w:rPr>
          <w:i w:val="0"/>
        </w:rPr>
        <w:t>In campaign the camp must be guarded from morally/ritually evil things.</w:t>
      </w:r>
    </w:p>
    <w:p>
      <w:pPr>
        <w:pStyle w:val="Heading2"/>
      </w:pPr>
      <w:r>
        <w:t>Deuteronomy 23:10–11 — nocturnal emission</w:t>
      </w:r>
    </w:p>
    <w:p>
      <w:pPr/>
      <w:r>
        <w:rPr>
          <w:i w:val="0"/>
        </w:rPr>
        <w:t>A man ceremonially unclean through a night emission stays outside the camp, washes toward evening and returns after sunset.</w:t>
      </w:r>
    </w:p>
    <w:p>
      <w:pPr/>
      <w:r>
        <w:rPr>
          <w:i w:val="0"/>
        </w:rPr>
        <w:t>The rule is ritual cleanliness, not moral condemnation of an involuntary bodily event.</w:t>
      </w:r>
    </w:p>
    <w:p>
      <w:pPr>
        <w:pStyle w:val="Heading2"/>
      </w:pPr>
      <w:r>
        <w:t>Deuteronomy 23:12–13 — sanitation outside the camp</w:t>
      </w:r>
    </w:p>
    <w:p>
      <w:pPr/>
      <w:r>
        <w:rPr>
          <w:i w:val="0"/>
        </w:rPr>
        <w:t>A designated place is used outside camp for excretion; each soldier carries an implement to dig and cover the waste.</w:t>
      </w:r>
    </w:p>
    <w:p>
      <w:pPr/>
      <w:r>
        <w:rPr>
          <w:i w:val="0"/>
        </w:rPr>
        <w:t>The law joins public sanitation with covenant holiness.</w:t>
      </w:r>
    </w:p>
    <w:p>
      <w:pPr>
        <w:pStyle w:val="Heading2"/>
      </w:pPr>
      <w:r>
        <w:t>Deuteronomy 23:14 — Yahweh walks in the camp</w:t>
      </w:r>
    </w:p>
    <w:p>
      <w:pPr/>
      <w:r>
        <w:rPr>
          <w:i w:val="0"/>
        </w:rPr>
        <w:t>The reason is that Yahweh walks in the camp to deliver Israel, so the camp must be holy and He must not see `‘ervat dabar`, a naked/indecent thing, and turn away.</w:t>
      </w:r>
    </w:p>
    <w:p>
      <w:pPr/>
      <w:r>
        <w:rPr>
          <w:i w:val="0"/>
        </w:rPr>
        <w:t>The phrase is related to the difficult `‘ervat dabar` wording in Deuteronomy 24:1. Here the meaning is indecency/unseemliness associated with exposed waste, not generic “sin” in the abstract.</w:t>
      </w:r>
    </w:p>
    <w:p>
      <w:pPr>
        <w:pStyle w:val="Heading1"/>
      </w:pPr>
      <w:r>
        <w:t>THE ESCAPED SERVANT — DEUTERONOMY 23:15–16</w:t>
      </w:r>
    </w:p>
    <w:p>
      <w:pPr>
        <w:pStyle w:val="Heading2"/>
      </w:pPr>
      <w:r>
        <w:t>Deuteronomy 23:15 — do not return a fugitive slave</w:t>
      </w:r>
    </w:p>
    <w:p>
      <w:pPr/>
      <w:r>
        <w:rPr>
          <w:i w:val="0"/>
        </w:rPr>
        <w:t>A slave who escapes from a master and comes into Israel is not to be handed back.</w:t>
      </w:r>
    </w:p>
    <w:p>
      <w:pPr/>
      <w:r>
        <w:rPr>
          <w:i w:val="0"/>
        </w:rPr>
        <w:t>The wording most naturally concerns a fugitive from outside Israel seeking protection within Israel; returning an Israelite servant to another Israelite master would conflict with other internal servant regulations and does not fit the “unto thee” asylum setting as naturally.</w:t>
      </w:r>
    </w:p>
    <w:p>
      <w:pPr>
        <w:pStyle w:val="Heading2"/>
      </w:pPr>
      <w:r>
        <w:t>Deuteronomy 23:16 — free residence and no oppression</w:t>
      </w:r>
    </w:p>
    <w:p>
      <w:pPr/>
      <w:r>
        <w:rPr>
          <w:i w:val="0"/>
        </w:rPr>
        <w:t>The fugitive may live where he chooses among Israel, in a place that is good for him, and must not be oppressed.</w:t>
      </w:r>
    </w:p>
    <w:p>
      <w:pPr/>
      <w:r>
        <w:rPr>
          <w:i w:val="0"/>
        </w:rPr>
        <w:t>This is a striking asylum protection in its ancient context.</w:t>
      </w:r>
    </w:p>
    <w:p>
      <w:pPr>
        <w:pStyle w:val="Heading1"/>
      </w:pPr>
      <w:r>
        <w:t>NO CONSECRATED PROSTITUTION OR TAINTED OFFERING — DEUTERONOMY 23:17–18</w:t>
      </w:r>
    </w:p>
    <w:p>
      <w:pPr>
        <w:pStyle w:val="Heading2"/>
      </w:pPr>
      <w:r>
        <w:t>Deuteronomy 23:17 — `qedeshah` and `qadesh`</w:t>
      </w:r>
    </w:p>
    <w:p>
      <w:pPr/>
      <w:r>
        <w:rPr>
          <w:i w:val="0"/>
        </w:rPr>
        <w:t>No Israelite daughter is to be a `qedeshah` and no Israelite son a `qadesh`—terms associated with consecrated/cultic sexual personnel.</w:t>
      </w:r>
    </w:p>
    <w:p>
      <w:pPr/>
      <w:r>
        <w:rPr>
          <w:i w:val="0"/>
        </w:rPr>
        <w:t>Traditional “cult prostitute” is reasonable in context, though the exact institutions behind these terms are debated.</w:t>
      </w:r>
    </w:p>
    <w:p>
      <w:pPr>
        <w:pStyle w:val="Heading2"/>
      </w:pPr>
      <w:r>
        <w:t>Deuteronomy 23:18 — prostitute’s hire and “price of a dog”</w:t>
      </w:r>
    </w:p>
    <w:p>
      <w:pPr/>
      <w:r>
        <w:rPr>
          <w:i w:val="0"/>
        </w:rPr>
        <w:t>The wage of a prostitute and the `mechir kelev`, price/payment of a dog, may not be brought into Yahweh’s house for a vow because both are abhorrent.</w:t>
      </w:r>
    </w:p>
    <w:p>
      <w:pPr/>
      <w:r>
        <w:rPr>
          <w:i w:val="0"/>
        </w:rPr>
        <w:t>`Dog` may be literal or may function as a contemptuous term connected with male prostitution; the verse does not make the latter identification certain. Mansfield’s categorical equation of “dog” with a male prostitute should therefore be qualified.</w:t>
      </w:r>
    </w:p>
    <w:p>
      <w:pPr>
        <w:pStyle w:val="Heading1"/>
      </w:pPr>
      <w:r>
        <w:t>INTEREST — DEUTERONOMY 23:19–20</w:t>
      </w:r>
    </w:p>
    <w:p>
      <w:pPr>
        <w:pStyle w:val="Heading2"/>
      </w:pPr>
      <w:r>
        <w:t>Deuteronomy 23:19 — no interest from a brother</w:t>
      </w:r>
    </w:p>
    <w:p>
      <w:pPr/>
      <w:r>
        <w:rPr>
          <w:i w:val="0"/>
        </w:rPr>
        <w:t>Israel must not charge `neshekh`, interest, to a brother on money, food or anything lent at interest.</w:t>
      </w:r>
    </w:p>
    <w:p>
      <w:pPr/>
      <w:r>
        <w:rPr>
          <w:i w:val="0"/>
        </w:rPr>
        <w:t>In the Torah’s broader context these laws especially protect needy covenant members from exploitation. They should not be mapped mechanically onto every form of modern productive commercial finance.</w:t>
      </w:r>
    </w:p>
    <w:p>
      <w:pPr>
        <w:pStyle w:val="Heading2"/>
      </w:pPr>
      <w:r>
        <w:t>Deuteronomy 23:20 — foreigner treated differently</w:t>
      </w:r>
    </w:p>
    <w:p>
      <w:pPr/>
      <w:r>
        <w:rPr>
          <w:i w:val="0"/>
        </w:rPr>
        <w:t>Interest may be charged to a `nokri`, foreign outsider, while the brother receives covenant protection.</w:t>
      </w:r>
    </w:p>
    <w:p>
      <w:pPr/>
      <w:r>
        <w:rPr>
          <w:i w:val="0"/>
        </w:rPr>
        <w:t>The distinction belongs to Israel’s national covenant economy, not a general licence to exploit foreigners.</w:t>
      </w:r>
    </w:p>
    <w:p>
      <w:pPr>
        <w:pStyle w:val="Heading1"/>
      </w:pPr>
      <w:r>
        <w:t>VOWS — DEUTERONOMY 23:21–23</w:t>
      </w:r>
    </w:p>
    <w:p>
      <w:pPr>
        <w:pStyle w:val="Heading2"/>
      </w:pPr>
      <w:r>
        <w:t>Deuteronomy 23:21–22 — voluntary vow, binding once made</w:t>
      </w:r>
    </w:p>
    <w:p>
      <w:pPr/>
      <w:r>
        <w:rPr>
          <w:i w:val="0"/>
        </w:rPr>
        <w:t>If Israel vows to Yahweh, payment must not be delayed. Not making a vow is not sin.</w:t>
      </w:r>
    </w:p>
    <w:p>
      <w:pPr>
        <w:pStyle w:val="Heading2"/>
      </w:pPr>
      <w:r>
        <w:t>Deuteronomy 23:23 — guard what leaves the lips</w:t>
      </w:r>
    </w:p>
    <w:p>
      <w:pPr/>
      <w:r>
        <w:rPr>
          <w:i w:val="0"/>
        </w:rPr>
        <w:t>What a person freely promises to Yahweh must be kept and performed.</w:t>
      </w:r>
    </w:p>
    <w:p>
      <w:pPr>
        <w:pStyle w:val="Heading1"/>
      </w:pPr>
      <w:r>
        <w:t>VINEYARD AND STANDING GRAIN — DEUTERONOMY 23:24–25</w:t>
      </w:r>
    </w:p>
    <w:p>
      <w:pPr>
        <w:pStyle w:val="Heading2"/>
      </w:pPr>
      <w:r>
        <w:t>Deuteronomy 23:24 — satisfy hunger, do not carry away</w:t>
      </w:r>
    </w:p>
    <w:p>
      <w:pPr/>
      <w:r>
        <w:rPr>
          <w:i w:val="0"/>
        </w:rPr>
        <w:t>A person entering a neighbour’s vineyard may eat grapes to satisfaction but may not put them into a container.</w:t>
      </w:r>
    </w:p>
    <w:p>
      <w:pPr>
        <w:pStyle w:val="Heading2"/>
      </w:pPr>
      <w:r>
        <w:t>Deuteronomy 23:25 — pluck by hand, no sickle</w:t>
      </w:r>
    </w:p>
    <w:p>
      <w:pPr/>
      <w:r>
        <w:rPr>
          <w:i w:val="0"/>
        </w:rPr>
        <w:t>A person may pluck standing grain by hand but may not wield a sickle in the neighbour’s crop.</w:t>
      </w:r>
    </w:p>
    <w:p>
      <w:pPr/>
      <w:r>
        <w:rPr>
          <w:i w:val="0"/>
        </w:rPr>
        <w:t>Jesus’ disciples plucking grain in the Gospels accords with this permission; the controversy there concerns Sabbath interpretation, not theft.</w:t>
      </w:r>
    </w:p>
    <w:p>
      <w:pPr>
        <w:pStyle w:val="Heading1"/>
      </w:pPr>
      <w:r>
        <w:t>PRINCIPAL THEMES</w:t>
      </w:r>
    </w:p>
    <w:p>
      <w:pPr>
        <w:ind w:left="259" w:hanging="202"/>
      </w:pPr>
      <w:r>
        <w:rPr>
          <w:b/>
        </w:rPr>
        <w:t xml:space="preserve">• </w:t>
      </w:r>
      <w:r>
        <w:t>`Qahal Yahweh` means Yahweh’s assembly/congregation; “inner ruling eldership” is not a proven lexical definition.</w:t>
      </w:r>
    </w:p>
    <w:p>
      <w:pPr>
        <w:ind w:left="259" w:hanging="202"/>
      </w:pPr>
      <w:r>
        <w:rPr>
          <w:b/>
        </w:rPr>
        <w:t xml:space="preserve">• </w:t>
      </w:r>
      <w:r>
        <w:t>`Mamzer` is difficult and should not be confidently identified with Perez.</w:t>
      </w:r>
    </w:p>
    <w:p>
      <w:pPr>
        <w:ind w:left="259" w:hanging="202"/>
      </w:pPr>
      <w:r>
        <w:rPr>
          <w:b/>
        </w:rPr>
        <w:t xml:space="preserve">• </w:t>
      </w:r>
      <w:r>
        <w:t>The ten-generation David/Saul theory is speculative.</w:t>
      </w:r>
    </w:p>
    <w:p>
      <w:pPr>
        <w:ind w:left="259" w:hanging="202"/>
      </w:pPr>
      <w:r>
        <w:rPr>
          <w:b/>
        </w:rPr>
        <w:t xml:space="preserve">• </w:t>
      </w:r>
      <w:r>
        <w:t>Ruth shows that the Moabite exclusion requires careful interpretation; the text itself does not spell out the resolution.</w:t>
      </w:r>
    </w:p>
    <w:p>
      <w:pPr>
        <w:ind w:left="259" w:hanging="202"/>
      </w:pPr>
      <w:r>
        <w:rPr>
          <w:b/>
        </w:rPr>
        <w:t xml:space="preserve">• </w:t>
      </w:r>
      <w:r>
        <w:t>Camp cleanliness includes ritual and practical sanitation because Yahweh dwells among Israel.</w:t>
      </w:r>
    </w:p>
    <w:p>
      <w:pPr>
        <w:ind w:left="259" w:hanging="202"/>
      </w:pPr>
      <w:r>
        <w:rPr>
          <w:b/>
        </w:rPr>
        <w:t xml:space="preserve">• </w:t>
      </w:r>
      <w:r>
        <w:t>The night-emission law treats ritual uncleanness, not voluntary sexual sin.</w:t>
      </w:r>
    </w:p>
    <w:p>
      <w:pPr>
        <w:ind w:left="259" w:hanging="202"/>
      </w:pPr>
      <w:r>
        <w:rPr>
          <w:b/>
        </w:rPr>
        <w:t xml:space="preserve">• </w:t>
      </w:r>
      <w:r>
        <w:t>The escaped-slave law most naturally protects an external fugitive seeking asylum in Israel.</w:t>
      </w:r>
    </w:p>
    <w:p>
      <w:pPr>
        <w:ind w:left="259" w:hanging="202"/>
      </w:pPr>
      <w:r>
        <w:rPr>
          <w:b/>
        </w:rPr>
        <w:t xml:space="preserve">• </w:t>
      </w:r>
      <w:r>
        <w:t>`Qedeshah/qadesh` are cultically consecrated sexual terms, but exact institutions are debated.</w:t>
      </w:r>
    </w:p>
    <w:p>
      <w:pPr>
        <w:ind w:left="259" w:hanging="202"/>
      </w:pPr>
      <w:r>
        <w:rPr>
          <w:b/>
        </w:rPr>
        <w:t xml:space="preserve">• </w:t>
      </w:r>
      <w:r>
        <w:t>The “price of a dog” may or may not refer to a male prostitute; certainty is unwarranted.</w:t>
      </w:r>
    </w:p>
    <w:p>
      <w:pPr>
        <w:ind w:left="259" w:hanging="202"/>
      </w:pPr>
      <w:r>
        <w:rPr>
          <w:b/>
        </w:rPr>
        <w:t xml:space="preserve">• </w:t>
      </w:r>
      <w:r>
        <w:t>Interest rules protect covenant brotherhood in Israel’s economy.</w:t>
      </w:r>
    </w:p>
    <w:p>
      <w:pPr>
        <w:ind w:left="259" w:hanging="202"/>
      </w:pPr>
      <w:r>
        <w:rPr>
          <w:b/>
        </w:rPr>
        <w:t xml:space="preserve">• </w:t>
      </w:r>
      <w:r>
        <w:t>Vows are optional before being made and binding afterward.</w:t>
      </w:r>
    </w:p>
    <w:p>
      <w:pPr>
        <w:ind w:left="259" w:hanging="202"/>
      </w:pPr>
      <w:r>
        <w:rPr>
          <w:b/>
        </w:rPr>
        <w:t xml:space="preserve">• </w:t>
      </w:r>
      <w:r>
        <w:t>Neighbourly produce laws meet immediate hunger while preserving property boundaries.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23:1</w:t>
            </w:r>
          </w:p>
        </w:tc>
        <w:tc>
          <w:tcPr>
            <w:tcW w:type="dxa" w:w="3561"/>
            <w:vAlign w:val="top"/>
          </w:tcPr>
          <w:p>
            <w:pPr>
              <w:spacing w:after="0" w:line="223" w:lineRule="auto"/>
            </w:pPr>
            <w:r>
              <w:rPr>
                <w:rFonts w:ascii="Times New Roman" w:hAnsi="Times New Roman"/>
                <w:sz w:val="13"/>
              </w:rPr>
              <w:t>qahal Yahweh</w:t>
            </w:r>
          </w:p>
        </w:tc>
        <w:tc>
          <w:tcPr>
            <w:tcW w:type="dxa" w:w="3561"/>
            <w:vAlign w:val="top"/>
          </w:tcPr>
          <w:p>
            <w:pPr>
              <w:spacing w:after="0" w:line="223" w:lineRule="auto"/>
            </w:pPr>
            <w:r>
              <w:rPr>
                <w:rFonts w:ascii="Times New Roman" w:hAnsi="Times New Roman"/>
                <w:sz w:val="13"/>
              </w:rPr>
              <w:t>Assembly/congregation; not lexically ‘inner council’.</w:t>
            </w:r>
          </w:p>
        </w:tc>
      </w:tr>
      <w:tr>
        <w:tc>
          <w:tcPr>
            <w:tcW w:type="dxa" w:w="3561"/>
            <w:vAlign w:val="top"/>
          </w:tcPr>
          <w:p>
            <w:pPr>
              <w:spacing w:after="0" w:line="223" w:lineRule="auto"/>
            </w:pPr>
            <w:r>
              <w:rPr>
                <w:rFonts w:ascii="Times New Roman" w:hAnsi="Times New Roman"/>
                <w:sz w:val="13"/>
              </w:rPr>
              <w:t>Isa. 56:3–5</w:t>
            </w:r>
          </w:p>
        </w:tc>
        <w:tc>
          <w:tcPr>
            <w:tcW w:type="dxa" w:w="3561"/>
            <w:vAlign w:val="top"/>
          </w:tcPr>
          <w:p>
            <w:pPr>
              <w:spacing w:after="0" w:line="223" w:lineRule="auto"/>
            </w:pPr>
            <w:r>
              <w:rPr>
                <w:rFonts w:ascii="Times New Roman" w:hAnsi="Times New Roman"/>
                <w:sz w:val="13"/>
              </w:rPr>
              <w:t>faithful eunuchs</w:t>
            </w:r>
          </w:p>
        </w:tc>
        <w:tc>
          <w:tcPr>
            <w:tcW w:type="dxa" w:w="3561"/>
            <w:vAlign w:val="top"/>
          </w:tcPr>
          <w:p>
            <w:pPr>
              <w:spacing w:after="0" w:line="223" w:lineRule="auto"/>
            </w:pPr>
            <w:r>
              <w:rPr>
                <w:rFonts w:ascii="Times New Roman" w:hAnsi="Times New Roman"/>
                <w:sz w:val="13"/>
              </w:rPr>
              <w:t>Spiritual acceptance/honour explicitly promised.</w:t>
            </w:r>
          </w:p>
        </w:tc>
      </w:tr>
      <w:tr>
        <w:tc>
          <w:tcPr>
            <w:tcW w:type="dxa" w:w="3561"/>
            <w:vAlign w:val="top"/>
          </w:tcPr>
          <w:p>
            <w:pPr>
              <w:spacing w:after="0" w:line="223" w:lineRule="auto"/>
            </w:pPr>
            <w:r>
              <w:rPr>
                <w:rFonts w:ascii="Times New Roman" w:hAnsi="Times New Roman"/>
                <w:sz w:val="13"/>
              </w:rPr>
              <w:t>Deut. 23:2</w:t>
            </w:r>
          </w:p>
        </w:tc>
        <w:tc>
          <w:tcPr>
            <w:tcW w:type="dxa" w:w="3561"/>
            <w:vAlign w:val="top"/>
          </w:tcPr>
          <w:p>
            <w:pPr>
              <w:spacing w:after="0" w:line="223" w:lineRule="auto"/>
            </w:pPr>
            <w:r>
              <w:rPr>
                <w:rFonts w:ascii="Times New Roman" w:hAnsi="Times New Roman"/>
                <w:sz w:val="13"/>
              </w:rPr>
              <w:t>mamzer</w:t>
            </w:r>
          </w:p>
        </w:tc>
        <w:tc>
          <w:tcPr>
            <w:tcW w:type="dxa" w:w="3561"/>
            <w:vAlign w:val="top"/>
          </w:tcPr>
          <w:p>
            <w:pPr>
              <w:spacing w:after="0" w:line="223" w:lineRule="auto"/>
            </w:pPr>
            <w:r>
              <w:rPr>
                <w:rFonts w:ascii="Times New Roman" w:hAnsi="Times New Roman"/>
                <w:sz w:val="13"/>
              </w:rPr>
              <w:t>Likely forbidden-union status; exact meaning uncertain.</w:t>
            </w:r>
          </w:p>
        </w:tc>
      </w:tr>
      <w:tr>
        <w:tc>
          <w:tcPr>
            <w:tcW w:type="dxa" w:w="3561"/>
            <w:vAlign w:val="top"/>
          </w:tcPr>
          <w:p>
            <w:pPr>
              <w:spacing w:after="0" w:line="223" w:lineRule="auto"/>
            </w:pPr>
            <w:r>
              <w:rPr>
                <w:rFonts w:ascii="Times New Roman" w:hAnsi="Times New Roman"/>
                <w:sz w:val="13"/>
              </w:rPr>
              <w:t>Perez→David theory</w:t>
            </w:r>
          </w:p>
        </w:tc>
        <w:tc>
          <w:tcPr>
            <w:tcW w:type="dxa" w:w="3561"/>
            <w:vAlign w:val="top"/>
          </w:tcPr>
          <w:p>
            <w:pPr>
              <w:spacing w:after="0" w:line="223" w:lineRule="auto"/>
            </w:pPr>
            <w:r>
              <w:rPr>
                <w:rFonts w:ascii="Times New Roman" w:hAnsi="Times New Roman"/>
                <w:sz w:val="13"/>
              </w:rPr>
              <w:t>speculative</w:t>
            </w:r>
          </w:p>
        </w:tc>
        <w:tc>
          <w:tcPr>
            <w:tcW w:type="dxa" w:w="3561"/>
            <w:vAlign w:val="top"/>
          </w:tcPr>
          <w:p>
            <w:pPr>
              <w:spacing w:after="0" w:line="223" w:lineRule="auto"/>
            </w:pPr>
            <w:r>
              <w:rPr>
                <w:rFonts w:ascii="Times New Roman" w:hAnsi="Times New Roman"/>
                <w:sz w:val="13"/>
              </w:rPr>
              <w:t>Text never labels Perez a mamzer or explains Saul this way.</w:t>
            </w:r>
          </w:p>
        </w:tc>
      </w:tr>
      <w:tr>
        <w:tc>
          <w:tcPr>
            <w:tcW w:type="dxa" w:w="3561"/>
            <w:vAlign w:val="top"/>
          </w:tcPr>
          <w:p>
            <w:pPr>
              <w:spacing w:after="0" w:line="223" w:lineRule="auto"/>
            </w:pPr>
            <w:r>
              <w:rPr>
                <w:rFonts w:ascii="Times New Roman" w:hAnsi="Times New Roman"/>
                <w:sz w:val="13"/>
              </w:rPr>
              <w:t>Deut. 23:3–5</w:t>
            </w:r>
          </w:p>
        </w:tc>
        <w:tc>
          <w:tcPr>
            <w:tcW w:type="dxa" w:w="3561"/>
            <w:vAlign w:val="top"/>
          </w:tcPr>
          <w:p>
            <w:pPr>
              <w:spacing w:after="0" w:line="223" w:lineRule="auto"/>
            </w:pPr>
            <w:r>
              <w:rPr>
                <w:rFonts w:ascii="Times New Roman" w:hAnsi="Times New Roman"/>
                <w:sz w:val="13"/>
              </w:rPr>
              <w:t>Ammon/Moab</w:t>
            </w:r>
          </w:p>
        </w:tc>
        <w:tc>
          <w:tcPr>
            <w:tcW w:type="dxa" w:w="3561"/>
            <w:vAlign w:val="top"/>
          </w:tcPr>
          <w:p>
            <w:pPr>
              <w:spacing w:after="0" w:line="223" w:lineRule="auto"/>
            </w:pPr>
            <w:r>
              <w:rPr>
                <w:rFonts w:ascii="Times New Roman" w:hAnsi="Times New Roman"/>
                <w:sz w:val="13"/>
              </w:rPr>
              <w:t>Bread/water refusal + Balaam; curse turned to blessing.</w:t>
            </w:r>
          </w:p>
        </w:tc>
      </w:tr>
      <w:tr>
        <w:tc>
          <w:tcPr>
            <w:tcW w:type="dxa" w:w="3561"/>
            <w:vAlign w:val="top"/>
          </w:tcPr>
          <w:p>
            <w:pPr>
              <w:spacing w:after="0" w:line="223" w:lineRule="auto"/>
            </w:pPr>
            <w:r>
              <w:rPr>
                <w:rFonts w:ascii="Times New Roman" w:hAnsi="Times New Roman"/>
                <w:sz w:val="13"/>
              </w:rPr>
              <w:t>Ruth</w:t>
            </w:r>
          </w:p>
        </w:tc>
        <w:tc>
          <w:tcPr>
            <w:tcW w:type="dxa" w:w="3561"/>
            <w:vAlign w:val="top"/>
          </w:tcPr>
          <w:p>
            <w:pPr>
              <w:spacing w:after="0" w:line="223" w:lineRule="auto"/>
            </w:pPr>
            <w:r>
              <w:rPr>
                <w:rFonts w:ascii="Times New Roman" w:hAnsi="Times New Roman"/>
                <w:sz w:val="13"/>
              </w:rPr>
              <w:t>Moabitess accepted</w:t>
            </w:r>
          </w:p>
        </w:tc>
        <w:tc>
          <w:tcPr>
            <w:tcW w:type="dxa" w:w="3561"/>
            <w:vAlign w:val="top"/>
          </w:tcPr>
          <w:p>
            <w:pPr>
              <w:spacing w:after="0" w:line="223" w:lineRule="auto"/>
            </w:pPr>
            <w:r>
              <w:rPr>
                <w:rFonts w:ascii="Times New Roman" w:hAnsi="Times New Roman"/>
                <w:sz w:val="13"/>
              </w:rPr>
              <w:t>Requires nuanced interpretation; later male-only reading is one solution.</w:t>
            </w:r>
          </w:p>
        </w:tc>
      </w:tr>
      <w:tr>
        <w:tc>
          <w:tcPr>
            <w:tcW w:type="dxa" w:w="3561"/>
            <w:vAlign w:val="top"/>
          </w:tcPr>
          <w:p>
            <w:pPr>
              <w:spacing w:after="0" w:line="223" w:lineRule="auto"/>
            </w:pPr>
            <w:r>
              <w:rPr>
                <w:rFonts w:ascii="Times New Roman" w:hAnsi="Times New Roman"/>
                <w:sz w:val="13"/>
              </w:rPr>
              <w:t>Deut. 23:7–8</w:t>
            </w:r>
          </w:p>
        </w:tc>
        <w:tc>
          <w:tcPr>
            <w:tcW w:type="dxa" w:w="3561"/>
            <w:vAlign w:val="top"/>
          </w:tcPr>
          <w:p>
            <w:pPr>
              <w:spacing w:after="0" w:line="223" w:lineRule="auto"/>
            </w:pPr>
            <w:r>
              <w:rPr>
                <w:rFonts w:ascii="Times New Roman" w:hAnsi="Times New Roman"/>
                <w:sz w:val="13"/>
              </w:rPr>
              <w:t>Edom/Egypt</w:t>
            </w:r>
          </w:p>
        </w:tc>
        <w:tc>
          <w:tcPr>
            <w:tcW w:type="dxa" w:w="3561"/>
            <w:vAlign w:val="top"/>
          </w:tcPr>
          <w:p>
            <w:pPr>
              <w:spacing w:after="0" w:line="223" w:lineRule="auto"/>
            </w:pPr>
            <w:r>
              <w:rPr>
                <w:rFonts w:ascii="Times New Roman" w:hAnsi="Times New Roman"/>
                <w:sz w:val="13"/>
              </w:rPr>
              <w:t>Third generation admitted.</w:t>
            </w:r>
          </w:p>
        </w:tc>
      </w:tr>
      <w:tr>
        <w:tc>
          <w:tcPr>
            <w:tcW w:type="dxa" w:w="3561"/>
            <w:vAlign w:val="top"/>
          </w:tcPr>
          <w:p>
            <w:pPr>
              <w:spacing w:after="0" w:line="223" w:lineRule="auto"/>
            </w:pPr>
            <w:r>
              <w:rPr>
                <w:rFonts w:ascii="Times New Roman" w:hAnsi="Times New Roman"/>
                <w:sz w:val="13"/>
              </w:rPr>
              <w:t>Deut. 23:10–11</w:t>
            </w:r>
          </w:p>
        </w:tc>
        <w:tc>
          <w:tcPr>
            <w:tcW w:type="dxa" w:w="3561"/>
            <w:vAlign w:val="top"/>
          </w:tcPr>
          <w:p>
            <w:pPr>
              <w:spacing w:after="0" w:line="223" w:lineRule="auto"/>
            </w:pPr>
            <w:r>
              <w:rPr>
                <w:rFonts w:ascii="Times New Roman" w:hAnsi="Times New Roman"/>
                <w:sz w:val="13"/>
              </w:rPr>
              <w:t>night emission</w:t>
            </w:r>
          </w:p>
        </w:tc>
        <w:tc>
          <w:tcPr>
            <w:tcW w:type="dxa" w:w="3561"/>
            <w:vAlign w:val="top"/>
          </w:tcPr>
          <w:p>
            <w:pPr>
              <w:spacing w:after="0" w:line="223" w:lineRule="auto"/>
            </w:pPr>
            <w:r>
              <w:rPr>
                <w:rFonts w:ascii="Times New Roman" w:hAnsi="Times New Roman"/>
                <w:sz w:val="13"/>
              </w:rPr>
              <w:t>Temporary ritual uncleanness.</w:t>
            </w:r>
          </w:p>
        </w:tc>
      </w:tr>
      <w:tr>
        <w:tc>
          <w:tcPr>
            <w:tcW w:type="dxa" w:w="3561"/>
            <w:vAlign w:val="top"/>
          </w:tcPr>
          <w:p>
            <w:pPr>
              <w:spacing w:after="0" w:line="223" w:lineRule="auto"/>
            </w:pPr>
            <w:r>
              <w:rPr>
                <w:rFonts w:ascii="Times New Roman" w:hAnsi="Times New Roman"/>
                <w:sz w:val="13"/>
              </w:rPr>
              <w:t>Deut. 23:12–14</w:t>
            </w:r>
          </w:p>
        </w:tc>
        <w:tc>
          <w:tcPr>
            <w:tcW w:type="dxa" w:w="3561"/>
            <w:vAlign w:val="top"/>
          </w:tcPr>
          <w:p>
            <w:pPr>
              <w:spacing w:after="0" w:line="223" w:lineRule="auto"/>
            </w:pPr>
            <w:r>
              <w:rPr>
                <w:rFonts w:ascii="Times New Roman" w:hAnsi="Times New Roman"/>
                <w:sz w:val="13"/>
              </w:rPr>
              <w:t>camp sanitation</w:t>
            </w:r>
          </w:p>
        </w:tc>
        <w:tc>
          <w:tcPr>
            <w:tcW w:type="dxa" w:w="3561"/>
            <w:vAlign w:val="top"/>
          </w:tcPr>
          <w:p>
            <w:pPr>
              <w:spacing w:after="0" w:line="223" w:lineRule="auto"/>
            </w:pPr>
            <w:r>
              <w:rPr>
                <w:rFonts w:ascii="Times New Roman" w:hAnsi="Times New Roman"/>
                <w:sz w:val="13"/>
              </w:rPr>
              <w:t>Waste buried because camp is holy.</w:t>
            </w:r>
          </w:p>
        </w:tc>
      </w:tr>
      <w:tr>
        <w:tc>
          <w:tcPr>
            <w:tcW w:type="dxa" w:w="3561"/>
            <w:vAlign w:val="top"/>
          </w:tcPr>
          <w:p>
            <w:pPr>
              <w:spacing w:after="0" w:line="223" w:lineRule="auto"/>
            </w:pPr>
            <w:r>
              <w:rPr>
                <w:rFonts w:ascii="Times New Roman" w:hAnsi="Times New Roman"/>
                <w:sz w:val="13"/>
              </w:rPr>
              <w:t>Deut. 23:14</w:t>
            </w:r>
          </w:p>
        </w:tc>
        <w:tc>
          <w:tcPr>
            <w:tcW w:type="dxa" w:w="3561"/>
            <w:vAlign w:val="top"/>
          </w:tcPr>
          <w:p>
            <w:pPr>
              <w:spacing w:after="0" w:line="223" w:lineRule="auto"/>
            </w:pPr>
            <w:r>
              <w:rPr>
                <w:rFonts w:ascii="Times New Roman" w:hAnsi="Times New Roman"/>
                <w:sz w:val="13"/>
              </w:rPr>
              <w:t>‘ervat dabar</w:t>
            </w:r>
          </w:p>
        </w:tc>
        <w:tc>
          <w:tcPr>
            <w:tcW w:type="dxa" w:w="3561"/>
            <w:vAlign w:val="top"/>
          </w:tcPr>
          <w:p>
            <w:pPr>
              <w:spacing w:after="0" w:line="223" w:lineRule="auto"/>
            </w:pPr>
            <w:r>
              <w:rPr>
                <w:rFonts w:ascii="Times New Roman" w:hAnsi="Times New Roman"/>
                <w:sz w:val="13"/>
              </w:rPr>
              <w:t>Naked/indecent thing; related phrase in 24:1.</w:t>
            </w:r>
          </w:p>
        </w:tc>
      </w:tr>
      <w:tr>
        <w:tc>
          <w:tcPr>
            <w:tcW w:type="dxa" w:w="3561"/>
            <w:vAlign w:val="top"/>
          </w:tcPr>
          <w:p>
            <w:pPr>
              <w:spacing w:after="0" w:line="223" w:lineRule="auto"/>
            </w:pPr>
            <w:r>
              <w:rPr>
                <w:rFonts w:ascii="Times New Roman" w:hAnsi="Times New Roman"/>
                <w:sz w:val="13"/>
              </w:rPr>
              <w:t>Deut. 23:15–16</w:t>
            </w:r>
          </w:p>
        </w:tc>
        <w:tc>
          <w:tcPr>
            <w:tcW w:type="dxa" w:w="3561"/>
            <w:vAlign w:val="top"/>
          </w:tcPr>
          <w:p>
            <w:pPr>
              <w:spacing w:after="0" w:line="223" w:lineRule="auto"/>
            </w:pPr>
            <w:r>
              <w:rPr>
                <w:rFonts w:ascii="Times New Roman" w:hAnsi="Times New Roman"/>
                <w:sz w:val="13"/>
              </w:rPr>
              <w:t>escaped slave</w:t>
            </w:r>
          </w:p>
        </w:tc>
        <w:tc>
          <w:tcPr>
            <w:tcW w:type="dxa" w:w="3561"/>
            <w:vAlign w:val="top"/>
          </w:tcPr>
          <w:p>
            <w:pPr>
              <w:spacing w:after="0" w:line="223" w:lineRule="auto"/>
            </w:pPr>
            <w:r>
              <w:rPr>
                <w:rFonts w:ascii="Times New Roman" w:hAnsi="Times New Roman"/>
                <w:sz w:val="13"/>
              </w:rPr>
              <w:t>Asylum and freedom from oppression.</w:t>
            </w:r>
          </w:p>
        </w:tc>
      </w:tr>
      <w:tr>
        <w:tc>
          <w:tcPr>
            <w:tcW w:type="dxa" w:w="3561"/>
            <w:vAlign w:val="top"/>
          </w:tcPr>
          <w:p>
            <w:pPr>
              <w:spacing w:after="0" w:line="223" w:lineRule="auto"/>
            </w:pPr>
            <w:r>
              <w:rPr>
                <w:rFonts w:ascii="Times New Roman" w:hAnsi="Times New Roman"/>
                <w:sz w:val="13"/>
              </w:rPr>
              <w:t>Deut. 23:17</w:t>
            </w:r>
          </w:p>
        </w:tc>
        <w:tc>
          <w:tcPr>
            <w:tcW w:type="dxa" w:w="3561"/>
            <w:vAlign w:val="top"/>
          </w:tcPr>
          <w:p>
            <w:pPr>
              <w:spacing w:after="0" w:line="223" w:lineRule="auto"/>
            </w:pPr>
            <w:r>
              <w:rPr>
                <w:rFonts w:ascii="Times New Roman" w:hAnsi="Times New Roman"/>
                <w:sz w:val="13"/>
              </w:rPr>
              <w:t>qedeshah/qadesh</w:t>
            </w:r>
          </w:p>
        </w:tc>
        <w:tc>
          <w:tcPr>
            <w:tcW w:type="dxa" w:w="3561"/>
            <w:vAlign w:val="top"/>
          </w:tcPr>
          <w:p>
            <w:pPr>
              <w:spacing w:after="0" w:line="223" w:lineRule="auto"/>
            </w:pPr>
            <w:r>
              <w:rPr>
                <w:rFonts w:ascii="Times New Roman" w:hAnsi="Times New Roman"/>
                <w:sz w:val="13"/>
              </w:rPr>
              <w:t>Consecrated/cultic sexual personnel.</w:t>
            </w:r>
          </w:p>
        </w:tc>
      </w:tr>
      <w:tr>
        <w:tc>
          <w:tcPr>
            <w:tcW w:type="dxa" w:w="3561"/>
            <w:vAlign w:val="top"/>
          </w:tcPr>
          <w:p>
            <w:pPr>
              <w:spacing w:after="0" w:line="223" w:lineRule="auto"/>
            </w:pPr>
            <w:r>
              <w:rPr>
                <w:rFonts w:ascii="Times New Roman" w:hAnsi="Times New Roman"/>
                <w:sz w:val="13"/>
              </w:rPr>
              <w:t>Deut. 23:18</w:t>
            </w:r>
          </w:p>
        </w:tc>
        <w:tc>
          <w:tcPr>
            <w:tcW w:type="dxa" w:w="3561"/>
            <w:vAlign w:val="top"/>
          </w:tcPr>
          <w:p>
            <w:pPr>
              <w:spacing w:after="0" w:line="223" w:lineRule="auto"/>
            </w:pPr>
            <w:r>
              <w:rPr>
                <w:rFonts w:ascii="Times New Roman" w:hAnsi="Times New Roman"/>
                <w:sz w:val="13"/>
              </w:rPr>
              <w:t>mechir kelev</w:t>
            </w:r>
          </w:p>
        </w:tc>
        <w:tc>
          <w:tcPr>
            <w:tcW w:type="dxa" w:w="3561"/>
            <w:vAlign w:val="top"/>
          </w:tcPr>
          <w:p>
            <w:pPr>
              <w:spacing w:after="0" w:line="223" w:lineRule="auto"/>
            </w:pPr>
            <w:r>
              <w:rPr>
                <w:rFonts w:ascii="Times New Roman" w:hAnsi="Times New Roman"/>
                <w:sz w:val="13"/>
              </w:rPr>
              <w:t>Price of a dog; male-prostitute interpretation possible, unproved.</w:t>
            </w:r>
          </w:p>
        </w:tc>
      </w:tr>
      <w:tr>
        <w:tc>
          <w:tcPr>
            <w:tcW w:type="dxa" w:w="3561"/>
            <w:vAlign w:val="top"/>
          </w:tcPr>
          <w:p>
            <w:pPr>
              <w:spacing w:after="0" w:line="223" w:lineRule="auto"/>
            </w:pPr>
            <w:r>
              <w:rPr>
                <w:rFonts w:ascii="Times New Roman" w:hAnsi="Times New Roman"/>
                <w:sz w:val="13"/>
              </w:rPr>
              <w:t>Deut. 23:19</w:t>
            </w:r>
          </w:p>
        </w:tc>
        <w:tc>
          <w:tcPr>
            <w:tcW w:type="dxa" w:w="3561"/>
            <w:vAlign w:val="top"/>
          </w:tcPr>
          <w:p>
            <w:pPr>
              <w:spacing w:after="0" w:line="223" w:lineRule="auto"/>
            </w:pPr>
            <w:r>
              <w:rPr>
                <w:rFonts w:ascii="Times New Roman" w:hAnsi="Times New Roman"/>
                <w:sz w:val="13"/>
              </w:rPr>
              <w:t>neshekh</w:t>
            </w:r>
          </w:p>
        </w:tc>
        <w:tc>
          <w:tcPr>
            <w:tcW w:type="dxa" w:w="3561"/>
            <w:vAlign w:val="top"/>
          </w:tcPr>
          <w:p>
            <w:pPr>
              <w:spacing w:after="0" w:line="223" w:lineRule="auto"/>
            </w:pPr>
            <w:r>
              <w:rPr>
                <w:rFonts w:ascii="Times New Roman" w:hAnsi="Times New Roman"/>
                <w:sz w:val="13"/>
              </w:rPr>
              <w:t>Interest.</w:t>
            </w:r>
          </w:p>
        </w:tc>
      </w:tr>
      <w:tr>
        <w:tc>
          <w:tcPr>
            <w:tcW w:type="dxa" w:w="3561"/>
            <w:vAlign w:val="top"/>
          </w:tcPr>
          <w:p>
            <w:pPr>
              <w:spacing w:after="0" w:line="223" w:lineRule="auto"/>
            </w:pPr>
            <w:r>
              <w:rPr>
                <w:rFonts w:ascii="Times New Roman" w:hAnsi="Times New Roman"/>
                <w:sz w:val="13"/>
              </w:rPr>
              <w:t>Deut. 23:21–23</w:t>
            </w:r>
          </w:p>
        </w:tc>
        <w:tc>
          <w:tcPr>
            <w:tcW w:type="dxa" w:w="3561"/>
            <w:vAlign w:val="top"/>
          </w:tcPr>
          <w:p>
            <w:pPr>
              <w:spacing w:after="0" w:line="223" w:lineRule="auto"/>
            </w:pPr>
            <w:r>
              <w:rPr>
                <w:rFonts w:ascii="Times New Roman" w:hAnsi="Times New Roman"/>
                <w:sz w:val="13"/>
              </w:rPr>
              <w:t>vow</w:t>
            </w:r>
          </w:p>
        </w:tc>
        <w:tc>
          <w:tcPr>
            <w:tcW w:type="dxa" w:w="3561"/>
            <w:vAlign w:val="top"/>
          </w:tcPr>
          <w:p>
            <w:pPr>
              <w:spacing w:after="0" w:line="223" w:lineRule="auto"/>
            </w:pPr>
            <w:r>
              <w:rPr>
                <w:rFonts w:ascii="Times New Roman" w:hAnsi="Times New Roman"/>
                <w:sz w:val="13"/>
              </w:rPr>
              <w:t>No sin in abstaining; obligation once promised.</w:t>
            </w:r>
          </w:p>
        </w:tc>
      </w:tr>
      <w:tr>
        <w:tc>
          <w:tcPr>
            <w:tcW w:type="dxa" w:w="3561"/>
            <w:vAlign w:val="top"/>
          </w:tcPr>
          <w:p>
            <w:pPr>
              <w:spacing w:after="0" w:line="223" w:lineRule="auto"/>
            </w:pPr>
            <w:r>
              <w:rPr>
                <w:rFonts w:ascii="Times New Roman" w:hAnsi="Times New Roman"/>
                <w:sz w:val="13"/>
              </w:rPr>
              <w:t>Deut. 23:24–25</w:t>
            </w:r>
          </w:p>
        </w:tc>
        <w:tc>
          <w:tcPr>
            <w:tcW w:type="dxa" w:w="3561"/>
            <w:vAlign w:val="top"/>
          </w:tcPr>
          <w:p>
            <w:pPr>
              <w:spacing w:after="0" w:line="223" w:lineRule="auto"/>
            </w:pPr>
            <w:r>
              <w:rPr>
                <w:rFonts w:ascii="Times New Roman" w:hAnsi="Times New Roman"/>
                <w:sz w:val="13"/>
              </w:rPr>
              <w:t>grapes/grain</w:t>
            </w:r>
          </w:p>
        </w:tc>
        <w:tc>
          <w:tcPr>
            <w:tcW w:type="dxa" w:w="3561"/>
            <w:vAlign w:val="top"/>
          </w:tcPr>
          <w:p>
            <w:pPr>
              <w:spacing w:after="0" w:line="223" w:lineRule="auto"/>
            </w:pPr>
            <w:r>
              <w:rPr>
                <w:rFonts w:ascii="Times New Roman" w:hAnsi="Times New Roman"/>
                <w:sz w:val="13"/>
              </w:rPr>
              <w:t>Immediate eating permitted; harvesting/carrying away forbidden.</w:t>
            </w:r>
          </w:p>
        </w:tc>
      </w:tr>
    </w:tbl>
    <w:p>
      <w:pPr>
        <w:pStyle w:val="Heading1"/>
      </w:pPr>
      <w:r>
        <w:t>RESIDUAL UNCERTAINTIES</w:t>
      </w:r>
    </w:p>
    <w:p>
      <w:pPr/>
      <w:r>
        <w:rPr>
          <w:i w:val="0"/>
        </w:rPr>
        <w:t>The precise scope of `qahal`, the meaning of `mamzer`, the legal accommodation of faithful Moabites such as Ruth, and the “price of a dog” phrase remain debated. Mansfield’s ruling-eldership definition and Perez-to-David ten-generation explanation are therefore not retained as established readings.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