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DEUTERONOMY 24</w:t>
      </w:r>
    </w:p>
    <w:p>
      <w:pPr>
        <w:pStyle w:val="Subtitle"/>
      </w:pPr>
      <w:r>
        <w:t>DIVORCE REGULATED, NOT IDEALISED • THE FIRST HUSBAND MAY NOT TAKE HER BACK AFTER AN INTERVENING MARRIAGE • NEWLYWED YEAR • DO NOT TAKE A LIVELIHOOD IN PLEDGE • KIDNAPPING • `TSARA‘AT` AND MIRIAM • DEBTOR DIGNITY • SAME-DAY WAGES • PERSONAL JUDICIAL RESPONSIBILITY • GLEANING FOR THE VULNERABLE</w:t>
      </w:r>
    </w:p>
    <w:p>
      <w:pPr/>
      <w:r>
        <w:rPr>
          <w:i/>
        </w:rPr>
        <w:t>H. P. Mansfield Bible notes — checked and arranged in verse-by-verse Expositor style</w:t>
      </w:r>
    </w:p>
    <w:p>
      <w:pPr/>
      <w:r>
        <w:rPr>
          <w:i w:val="0"/>
        </w:rPr>
        <w:t>Source: HPB 04-Deu01-Jud04.PDF principally p. 37; cross-checked with Mansfield’s Deuteronomy Expositor Chapter 24 and Jesus’ discussion in Matthew 19.</w:t>
      </w:r>
    </w:p>
    <w:p>
      <w:pPr>
        <w:pStyle w:val="Heading1"/>
      </w:pPr>
      <w:r>
        <w:t>CHAPTER OVERVIEW</w:t>
      </w:r>
    </w:p>
    <w:p>
      <w:pPr/>
      <w:r>
        <w:rPr>
          <w:i w:val="0"/>
        </w:rPr>
        <w:t>Deuteronomy 24 limits the stronger party in marriage, lending, employment and harvest. It repeatedly prevents legal power from becoming exploitation and grounds mercy in Israel’s own memory of bondage and redemption.</w:t>
      </w:r>
    </w:p>
    <w:p>
      <w:pPr/>
      <w:r>
        <w:rPr>
          <w:i w:val="0"/>
        </w:rPr>
        <w:t>The opening four verses are often misread as a command to divorce. Grammatically the situation unfolds through verses 1–3; the prohibition arrives in verse 4: after divorce and an intervening marriage, the first husband may not take the woman back.</w:t>
      </w:r>
    </w:p>
    <w:p>
      <w:pPr>
        <w:pStyle w:val="Heading1"/>
      </w:pPr>
      <w:r>
        <w:t>DIVORCE AND INTERVENING REMARRIAGE — DEUTERONOMY 24:1–4</w:t>
      </w:r>
    </w:p>
    <w:p>
      <w:pPr>
        <w:pStyle w:val="Heading2"/>
      </w:pPr>
      <w:r>
        <w:t>Deuteronomy 24:1 — `‘ervat dabar`</w:t>
      </w:r>
    </w:p>
    <w:p>
      <w:pPr/>
      <w:r>
        <w:rPr>
          <w:i w:val="0"/>
        </w:rPr>
        <w:t>A husband may find in his wife `‘ervat dabar`, literally nakedness/indecency of a thing, write a `sefer keritut`, certificate of cutting-off/divorce, place it in her hand and send her from his house.</w:t>
      </w:r>
    </w:p>
    <w:p>
      <w:pPr/>
      <w:r>
        <w:rPr>
          <w:i w:val="0"/>
        </w:rPr>
        <w:t>The exact ground denoted by `‘ervat dabar` is debated. It is too narrow to state as proven that Moses permitted divorce only for adultery: adultery was separately a capital offence in Deuteronomy 22, and the phrase is not the standard word for adultery. Mansfield’s “one cause only = sexual unfaithfulness” is therefore not established.</w:t>
      </w:r>
    </w:p>
    <w:p>
      <w:pPr>
        <w:pStyle w:val="Heading2"/>
      </w:pPr>
      <w:r>
        <w:t>Deuteronomy 24:1–3 — the grammar describes a case</w:t>
      </w:r>
    </w:p>
    <w:p>
      <w:pPr/>
      <w:r>
        <w:rPr>
          <w:i w:val="0"/>
        </w:rPr>
        <w:t>Verses 1–3 form a long conditional sequence: if a man divorces a wife, she leaves and becomes another man’s wife, and the latter husband divorces her or dies, then verse 4 gives the ruling.</w:t>
      </w:r>
    </w:p>
    <w:p>
      <w:pPr/>
      <w:r>
        <w:rPr>
          <w:i w:val="0"/>
        </w:rPr>
        <w:t>The passage regulates a situation rather than commanding the first husband to divorce her. Jesus likewise describes Mosaic divorce as a concession connected with hardness of heart, not creation’s ideal.</w:t>
      </w:r>
    </w:p>
    <w:p>
      <w:pPr>
        <w:pStyle w:val="Heading2"/>
      </w:pPr>
      <w:r>
        <w:t>Deuteronomy 24:2–3 — the second marriage is treated as a marriage</w:t>
      </w:r>
    </w:p>
    <w:p>
      <w:pPr/>
      <w:r>
        <w:rPr>
          <w:i w:val="0"/>
        </w:rPr>
        <w:t>The Hebrew says she “becomes another man’s” and repeatedly calls the second man `ish`, a word that normally means man or husband depending on context; verse 3 says he “took her to him for a wife.”</w:t>
      </w:r>
    </w:p>
    <w:p>
      <w:pPr/>
      <w:r>
        <w:rPr>
          <w:i w:val="0"/>
        </w:rPr>
        <w:t>Mansfield’s argument that `ish` proves the second union was not a legitimate marriage is linguistically unsound. Hebrew commonly uses `ish` for husband.</w:t>
      </w:r>
    </w:p>
    <w:p>
      <w:pPr>
        <w:pStyle w:val="Heading2"/>
      </w:pPr>
      <w:r>
        <w:t>Deuteronomy 24:4 — first husband may not remarry her</w:t>
      </w:r>
    </w:p>
    <w:p>
      <w:pPr/>
      <w:r>
        <w:rPr>
          <w:i w:val="0"/>
        </w:rPr>
        <w:t>After the intervening marriage, the first husband who sent her away may not take her again “after that she is defiled.”</w:t>
      </w:r>
    </w:p>
    <w:p>
      <w:pPr/>
      <w:r>
        <w:rPr>
          <w:i w:val="0"/>
        </w:rPr>
        <w:t>The verse calls the return after the intervening union an abomination and protects the land from this prohibited reshuffling. The word “defiled” is difficult, but the text does not clearly say the second marriage itself was adulterous or invalid. Mansfield’s claim that she remained legally married to the first husband and committed adultery by the second union goes beyond the grammar.</w:t>
      </w:r>
    </w:p>
    <w:p>
      <w:pPr>
        <w:pStyle w:val="Heading2"/>
      </w:pPr>
      <w:r>
        <w:t>Matthew 19 — creation ideal and Mosaic concession</w:t>
      </w:r>
    </w:p>
    <w:p>
      <w:pPr/>
      <w:r>
        <w:rPr>
          <w:i w:val="0"/>
        </w:rPr>
        <w:t>Jesus directs the question back to Genesis: the two become one flesh and humans should not separate what God joined. He says Moses permitted divorce because of hardness of heart and then gives his own authoritative teaching.</w:t>
      </w:r>
    </w:p>
    <w:p>
      <w:pPr/>
      <w:r>
        <w:rPr>
          <w:i w:val="0"/>
        </w:rPr>
        <w:t>Deuteronomy 24 should therefore be read as regulation of broken marriage in Israel, not the creation of an ideal divorce system.</w:t>
      </w:r>
    </w:p>
    <w:p>
      <w:pPr>
        <w:pStyle w:val="Heading1"/>
      </w:pPr>
      <w:r>
        <w:t>NEWLY MARRIED MAN — DEUTERONOMY 24:5</w:t>
      </w:r>
    </w:p>
    <w:p>
      <w:pPr>
        <w:pStyle w:val="Heading2"/>
      </w:pPr>
      <w:r>
        <w:t>Deuteronomy 24:5 — one year free</w:t>
      </w:r>
    </w:p>
    <w:p>
      <w:pPr/>
      <w:r>
        <w:rPr>
          <w:i w:val="0"/>
        </w:rPr>
        <w:t>A man who has taken a new wife is not to go out with the army or have public duty imposed upon him for one year; he is free at home.</w:t>
      </w:r>
    </w:p>
    <w:p>
      <w:pPr/>
      <w:r>
        <w:rPr>
          <w:i w:val="0"/>
        </w:rPr>
        <w:t>`Simmach` means gladden/give joy to his wife. KJV “cheer up” should not be read as though she were presumed unhappy; the purpose is establishing and rejoicing in the new household.</w:t>
      </w:r>
    </w:p>
    <w:p>
      <w:pPr>
        <w:pStyle w:val="Heading1"/>
      </w:pPr>
      <w:r>
        <w:t>DO NOT TAKE A LIFE-LIVELIHOOD IN PLEDGE — DEUTERONOMY 24:6</w:t>
      </w:r>
    </w:p>
    <w:p>
      <w:pPr>
        <w:pStyle w:val="Heading2"/>
      </w:pPr>
      <w:r>
        <w:t>Deuteronomy 24:6 — mill or upper stone</w:t>
      </w:r>
    </w:p>
    <w:p>
      <w:pPr/>
      <w:r>
        <w:rPr>
          <w:i w:val="0"/>
        </w:rPr>
        <w:t>No one may take a handmill or its upper stone as security because that would take a `nephesh` in pledge.</w:t>
      </w:r>
    </w:p>
    <w:p>
      <w:pPr/>
      <w:r>
        <w:rPr>
          <w:i w:val="0"/>
        </w:rPr>
        <w:t>`Nephesh` here means life/livelihood: the mill enables daily food and productive survival. The verse is strong evidence that `nephesh` does not intrinsically mean an immortal soul.</w:t>
      </w:r>
    </w:p>
    <w:p>
      <w:pPr>
        <w:pStyle w:val="Heading1"/>
      </w:pPr>
      <w:r>
        <w:t>KIDNAPPING — DEUTERONOMY 24:7</w:t>
      </w:r>
    </w:p>
    <w:p>
      <w:pPr>
        <w:pStyle w:val="Heading2"/>
      </w:pPr>
      <w:r>
        <w:t>Deuteronomy 24:7 — steal a brother and enslave/sell him</w:t>
      </w:r>
    </w:p>
    <w:p>
      <w:pPr/>
      <w:r>
        <w:rPr>
          <w:i w:val="0"/>
        </w:rPr>
        <w:t>Kidnapping an Israelite brother, treating him as a slave or selling him is a capital crime under Israel’s law.</w:t>
      </w:r>
    </w:p>
    <w:p>
      <w:pPr/>
      <w:r>
        <w:rPr>
          <w:i w:val="0"/>
        </w:rPr>
        <w:t>The evil is not ordinary employment or lawful debt-service; it is stealing a person and commodifying him.</w:t>
      </w:r>
    </w:p>
    <w:p>
      <w:pPr>
        <w:pStyle w:val="Heading1"/>
      </w:pPr>
      <w:r>
        <w:t>`TSARA‘AT` AND MIRIAM — DEUTERONOMY 24:8–9</w:t>
      </w:r>
    </w:p>
    <w:p>
      <w:pPr>
        <w:pStyle w:val="Heading2"/>
      </w:pPr>
      <w:r>
        <w:t>Deuteronomy 24:8 — heed priestly instruction</w:t>
      </w:r>
    </w:p>
    <w:p>
      <w:pPr/>
      <w:r>
        <w:rPr>
          <w:i w:val="0"/>
        </w:rPr>
        <w:t>Israel must carefully observe the priests’ Torah in cases of `tsara‘at`.</w:t>
      </w:r>
    </w:p>
    <w:p>
      <w:pPr/>
      <w:r>
        <w:rPr>
          <w:i w:val="0"/>
        </w:rPr>
        <w:t>KJV “leprosy” is traditional but `tsara‘at` covers a biblical ritual skin-condition category and can also affect garments/houses; it is not safely equated in every instance with modern Hansen’s disease.</w:t>
      </w:r>
    </w:p>
    <w:p>
      <w:pPr>
        <w:pStyle w:val="Heading2"/>
      </w:pPr>
      <w:r>
        <w:t>Deuteronomy 24:9 — remember Miriam</w:t>
      </w:r>
    </w:p>
    <w:p>
      <w:pPr/>
      <w:r>
        <w:rPr>
          <w:i w:val="0"/>
        </w:rPr>
        <w:t>Israel must remember what Yahweh did to Miriam on the way out of Egypt.</w:t>
      </w:r>
    </w:p>
    <w:p>
      <w:pPr/>
      <w:r>
        <w:rPr>
          <w:i w:val="0"/>
        </w:rPr>
        <w:t>Numbers 12 makes her a warning that status does not remove accountability and that priestly quarantine instructions are not to be ignored.</w:t>
      </w:r>
    </w:p>
    <w:p>
      <w:pPr>
        <w:pStyle w:val="Heading1"/>
      </w:pPr>
      <w:r>
        <w:t>PLEDGES AND THE DEBTOR’S HOUSE — DEUTERONOMY 24:10–13</w:t>
      </w:r>
    </w:p>
    <w:p>
      <w:pPr>
        <w:pStyle w:val="Heading2"/>
      </w:pPr>
      <w:r>
        <w:t>Deuteronomy 24:10–11 — creditor stays outside</w:t>
      </w:r>
    </w:p>
    <w:p>
      <w:pPr/>
      <w:r>
        <w:rPr>
          <w:i w:val="0"/>
        </w:rPr>
        <w:t>A creditor may not enter the borrower’s house to seize a pledge. He waits outside and the debtor brings it out.</w:t>
      </w:r>
    </w:p>
    <w:p>
      <w:pPr/>
      <w:r>
        <w:rPr>
          <w:i w:val="0"/>
        </w:rPr>
        <w:t>The law protects personal dignity and domestic space against intrusive collection.</w:t>
      </w:r>
    </w:p>
    <w:p>
      <w:pPr>
        <w:pStyle w:val="Heading2"/>
      </w:pPr>
      <w:r>
        <w:t>Deuteronomy 24:12–13 — poor man’s garment returned by sunset</w:t>
      </w:r>
    </w:p>
    <w:p>
      <w:pPr/>
      <w:r>
        <w:rPr>
          <w:i w:val="0"/>
        </w:rPr>
        <w:t>If the borrower is poor and gives a necessary outer garment as pledge, it must be returned before sunset so he can sleep in it.</w:t>
      </w:r>
    </w:p>
    <w:p>
      <w:pPr/>
      <w:r>
        <w:rPr>
          <w:i w:val="0"/>
        </w:rPr>
        <w:t>The merciful return is described as righteousness before Yahweh.</w:t>
      </w:r>
    </w:p>
    <w:p>
      <w:pPr>
        <w:pStyle w:val="Heading1"/>
      </w:pPr>
      <w:r>
        <w:t>SAME-DAY WAGES — DEUTERONOMY 24:14–15</w:t>
      </w:r>
    </w:p>
    <w:p>
      <w:pPr>
        <w:pStyle w:val="Heading2"/>
      </w:pPr>
      <w:r>
        <w:t>Deuteronomy 24:14 — poor hired worker and ger</w:t>
      </w:r>
    </w:p>
    <w:p>
      <w:pPr/>
      <w:r>
        <w:rPr>
          <w:i w:val="0"/>
        </w:rPr>
        <w:t>A poor and needy hired worker, whether Israelite brother or resident stranger in the land, must not be oppressed.</w:t>
      </w:r>
    </w:p>
    <w:p>
      <w:pPr>
        <w:pStyle w:val="Heading2"/>
      </w:pPr>
      <w:r>
        <w:t>Deuteronomy 24:15 — pay before sunset</w:t>
      </w:r>
    </w:p>
    <w:p>
      <w:pPr/>
      <w:r>
        <w:rPr>
          <w:i w:val="0"/>
        </w:rPr>
        <w:t>Wages must be paid that day because the worker sets his nephesh upon it—depends upon/desires the wage for life.</w:t>
      </w:r>
    </w:p>
    <w:p>
      <w:pPr/>
      <w:r>
        <w:rPr>
          <w:i w:val="0"/>
        </w:rPr>
        <w:t>Delayed pay that harms the vulnerable becomes sin before Yahweh.</w:t>
      </w:r>
    </w:p>
    <w:p>
      <w:pPr>
        <w:pStyle w:val="Heading1"/>
      </w:pPr>
      <w:r>
        <w:t>PERSONAL JUDICIAL RESPONSIBILITY — DEUTERONOMY 24:16</w:t>
      </w:r>
    </w:p>
    <w:p>
      <w:pPr>
        <w:pStyle w:val="Heading2"/>
      </w:pPr>
      <w:r>
        <w:t>Deuteronomy 24:16 — each dies for his own sin</w:t>
      </w:r>
    </w:p>
    <w:p>
      <w:pPr/>
      <w:r>
        <w:rPr>
          <w:i w:val="0"/>
        </w:rPr>
        <w:t>Fathers are not judicially executed for children nor children for fathers; each person is put to death for his own capital offence.</w:t>
      </w:r>
    </w:p>
    <w:p>
      <w:pPr/>
      <w:r>
        <w:rPr>
          <w:i w:val="0"/>
        </w:rPr>
        <w:t>This is a rule for human courts. It does not deny that one generation’s actions can produce consequences for another, nor does it contradict passages describing corporate or generational effects of sin.</w:t>
      </w:r>
    </w:p>
    <w:p>
      <w:pPr>
        <w:pStyle w:val="Heading1"/>
      </w:pPr>
      <w:r>
        <w:t>STRANGER, FATHERLESS AND WIDOW — DEUTERONOMY 24:17–18</w:t>
      </w:r>
    </w:p>
    <w:p>
      <w:pPr>
        <w:pStyle w:val="Heading2"/>
      </w:pPr>
      <w:r>
        <w:t>Deuteronomy 24:17 — do not distort justice or seize widow’s garment</w:t>
      </w:r>
    </w:p>
    <w:p>
      <w:pPr/>
      <w:r>
        <w:rPr>
          <w:i w:val="0"/>
        </w:rPr>
        <w:t>Israel must not pervert judgment against stranger or fatherless and may not take a widow’s garment as pledge.</w:t>
      </w:r>
    </w:p>
    <w:p>
      <w:pPr>
        <w:pStyle w:val="Heading2"/>
      </w:pPr>
      <w:r>
        <w:t>Deuteronomy 24:18 — remember redemption</w:t>
      </w:r>
    </w:p>
    <w:p>
      <w:pPr/>
      <w:r>
        <w:rPr>
          <w:i w:val="0"/>
        </w:rPr>
        <w:t>The reason is historical and theological: Israel was a slave in Egypt and Yahweh redeemed it.</w:t>
      </w:r>
    </w:p>
    <w:p>
      <w:pPr/>
      <w:r>
        <w:rPr>
          <w:i w:val="0"/>
        </w:rPr>
        <w:t>Redeemed people must not reproduce the oppression from which they were delivered.</w:t>
      </w:r>
    </w:p>
    <w:p>
      <w:pPr>
        <w:pStyle w:val="Heading1"/>
      </w:pPr>
      <w:r>
        <w:t>GLEANING — DEUTERONOMY 24:19–22</w:t>
      </w:r>
    </w:p>
    <w:p>
      <w:pPr>
        <w:pStyle w:val="Heading2"/>
      </w:pPr>
      <w:r>
        <w:t>Deuteronomy 24:19 — forgotten sheaf</w:t>
      </w:r>
    </w:p>
    <w:p>
      <w:pPr/>
      <w:r>
        <w:rPr>
          <w:i w:val="0"/>
        </w:rPr>
        <w:t>If a sheaf is forgotten in the field, the owner must not go back for it; it belongs to stranger, fatherless and widow.</w:t>
      </w:r>
    </w:p>
    <w:p>
      <w:pPr>
        <w:pStyle w:val="Heading2"/>
      </w:pPr>
      <w:r>
        <w:t>Deuteronomy 24:20 — olive tree</w:t>
      </w:r>
    </w:p>
    <w:p>
      <w:pPr/>
      <w:r>
        <w:rPr>
          <w:i w:val="0"/>
        </w:rPr>
        <w:t>After beating the olive tree, the owner must not go over the branches again to extract every remaining olive.</w:t>
      </w:r>
    </w:p>
    <w:p>
      <w:pPr>
        <w:pStyle w:val="Heading2"/>
      </w:pPr>
      <w:r>
        <w:t>Deuteronomy 24:21 — vineyard</w:t>
      </w:r>
    </w:p>
    <w:p>
      <w:pPr/>
      <w:r>
        <w:rPr>
          <w:i w:val="0"/>
        </w:rPr>
        <w:t>After gathering grapes, the owner must not glean the vineyard again; the remainder is for vulnerable people.</w:t>
      </w:r>
    </w:p>
    <w:p>
      <w:pPr>
        <w:pStyle w:val="Heading2"/>
      </w:pPr>
      <w:r>
        <w:t>Deuteronomy 24:22 — remember slavery again</w:t>
      </w:r>
    </w:p>
    <w:p>
      <w:pPr/>
      <w:r>
        <w:rPr>
          <w:i w:val="0"/>
        </w:rPr>
        <w:t>The section closes by repeating that Israel was a slave in Egypt.</w:t>
      </w:r>
    </w:p>
    <w:p>
      <w:pPr/>
      <w:r>
        <w:rPr>
          <w:i w:val="0"/>
        </w:rPr>
        <w:t>Gleaning lets the vulnerable gather food with agency, as Ruth 2 vividly illustrates, but the text does not contrast this with or condemn direct charitable gifts. Torah provides both forms of generosity.</w:t>
      </w:r>
    </w:p>
    <w:p>
      <w:pPr>
        <w:pStyle w:val="Heading1"/>
      </w:pPr>
      <w:r>
        <w:t>PRINCIPAL THEMES</w:t>
      </w:r>
    </w:p>
    <w:p>
      <w:pPr>
        <w:ind w:left="259" w:hanging="202"/>
      </w:pPr>
      <w:r>
        <w:rPr>
          <w:b/>
        </w:rPr>
        <w:t xml:space="preserve">• </w:t>
      </w:r>
      <w:r>
        <w:t>Deuteronomy 24:1–4 regulates divorce and remarriage; it does not command divorce.</w:t>
      </w:r>
    </w:p>
    <w:p>
      <w:pPr>
        <w:ind w:left="259" w:hanging="202"/>
      </w:pPr>
      <w:r>
        <w:rPr>
          <w:b/>
        </w:rPr>
        <w:t xml:space="preserve">• </w:t>
      </w:r>
      <w:r>
        <w:t>`‘Ervat dabar` is difficult and should not be equated with adultery as a proven one-cause rule.</w:t>
      </w:r>
    </w:p>
    <w:p>
      <w:pPr>
        <w:ind w:left="259" w:hanging="202"/>
      </w:pPr>
      <w:r>
        <w:rPr>
          <w:b/>
        </w:rPr>
        <w:t xml:space="preserve">• </w:t>
      </w:r>
      <w:r>
        <w:t>The second union is grammatically treated as a marriage; `ish` does not prove illegitimacy.</w:t>
      </w:r>
    </w:p>
    <w:p>
      <w:pPr>
        <w:ind w:left="259" w:hanging="202"/>
      </w:pPr>
      <w:r>
        <w:rPr>
          <w:b/>
        </w:rPr>
        <w:t xml:space="preserve">• </w:t>
      </w:r>
      <w:r>
        <w:t>The actual prohibition is the first husband taking the woman back after the intervening marriage.</w:t>
      </w:r>
    </w:p>
    <w:p>
      <w:pPr>
        <w:ind w:left="259" w:hanging="202"/>
      </w:pPr>
      <w:r>
        <w:rPr>
          <w:b/>
        </w:rPr>
        <w:t xml:space="preserve">• </w:t>
      </w:r>
      <w:r>
        <w:t>Jesus identifies Mosaic divorce as a concession to hardness of heart and restores the creation ideal.</w:t>
      </w:r>
    </w:p>
    <w:p>
      <w:pPr>
        <w:ind w:left="259" w:hanging="202"/>
      </w:pPr>
      <w:r>
        <w:rPr>
          <w:b/>
        </w:rPr>
        <w:t xml:space="preserve">• </w:t>
      </w:r>
      <w:r>
        <w:t>The newlywed is freed for a year to gladden/establish life with his wife.</w:t>
      </w:r>
    </w:p>
    <w:p>
      <w:pPr>
        <w:ind w:left="259" w:hanging="202"/>
      </w:pPr>
      <w:r>
        <w:rPr>
          <w:b/>
        </w:rPr>
        <w:t xml:space="preserve">• </w:t>
      </w:r>
      <w:r>
        <w:t>`Nephesh` in the millstone law means life/livelihood.</w:t>
      </w:r>
    </w:p>
    <w:p>
      <w:pPr>
        <w:ind w:left="259" w:hanging="202"/>
      </w:pPr>
      <w:r>
        <w:rPr>
          <w:b/>
        </w:rPr>
        <w:t xml:space="preserve">• </w:t>
      </w:r>
      <w:r>
        <w:t>`Tsara‘at` is a biblical ritual disease category, not automatically modern Hansen’s disease.</w:t>
      </w:r>
    </w:p>
    <w:p>
      <w:pPr>
        <w:ind w:left="259" w:hanging="202"/>
      </w:pPr>
      <w:r>
        <w:rPr>
          <w:b/>
        </w:rPr>
        <w:t xml:space="preserve">• </w:t>
      </w:r>
      <w:r>
        <w:t>Creditors must respect the debtor’s home and basic survival needs.</w:t>
      </w:r>
    </w:p>
    <w:p>
      <w:pPr>
        <w:ind w:left="259" w:hanging="202"/>
      </w:pPr>
      <w:r>
        <w:rPr>
          <w:b/>
        </w:rPr>
        <w:t xml:space="preserve">• </w:t>
      </w:r>
      <w:r>
        <w:t>Same-day wages protect workers who depend upon their pay.</w:t>
      </w:r>
    </w:p>
    <w:p>
      <w:pPr>
        <w:ind w:left="259" w:hanging="202"/>
      </w:pPr>
      <w:r>
        <w:rPr>
          <w:b/>
        </w:rPr>
        <w:t xml:space="preserve">• </w:t>
      </w:r>
      <w:r>
        <w:t>Verse 16 governs human judicial punishment and personal culpability.</w:t>
      </w:r>
    </w:p>
    <w:p>
      <w:pPr>
        <w:ind w:left="259" w:hanging="202"/>
      </w:pPr>
      <w:r>
        <w:rPr>
          <w:b/>
        </w:rPr>
        <w:t xml:space="preserve">• </w:t>
      </w:r>
      <w:r>
        <w:t>Gleaning preserves food access for vulnerable people without permitting owners to maximise every last yield.</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pPr>
              <w:spacing w:after="0" w:line="206" w:lineRule="auto"/>
            </w:pPr>
            <w:r>
              <w:rPr>
                <w:rFonts w:ascii="Arial" w:hAnsi="Arial"/>
                <w:b/>
                <w:sz w:val="14"/>
              </w:rPr>
              <w:t>Location</w:t>
            </w:r>
          </w:p>
        </w:tc>
        <w:tc>
          <w:tcPr>
            <w:tcW w:type="dxa" w:w="3561"/>
          </w:tcPr>
          <w:p>
            <w:pPr>
              <w:spacing w:after="0" w:line="206" w:lineRule="auto"/>
            </w:pPr>
            <w:r>
              <w:rPr>
                <w:rFonts w:ascii="Arial" w:hAnsi="Arial"/>
                <w:b/>
                <w:sz w:val="14"/>
              </w:rPr>
              <w:t>Checked / corrected reading</w:t>
            </w:r>
          </w:p>
        </w:tc>
        <w:tc>
          <w:tcPr>
            <w:tcW w:type="dxa" w:w="3561"/>
          </w:tcPr>
          <w:p>
            <w:pPr>
              <w:spacing w:after="0" w:line="206" w:lineRule="auto"/>
            </w:pPr>
            <w:r>
              <w:rPr>
                <w:rFonts w:ascii="Arial" w:hAnsi="Arial"/>
                <w:b/>
                <w:sz w:val="14"/>
              </w:rPr>
              <w:t>Basis</w:t>
            </w:r>
          </w:p>
        </w:tc>
      </w:tr>
      <w:tr>
        <w:tc>
          <w:tcPr>
            <w:tcW w:type="dxa" w:w="3561"/>
            <w:vAlign w:val="top"/>
          </w:tcPr>
          <w:p>
            <w:pPr>
              <w:spacing w:after="0" w:line="206" w:lineRule="auto"/>
            </w:pPr>
            <w:r>
              <w:rPr>
                <w:rFonts w:ascii="Times New Roman" w:hAnsi="Times New Roman"/>
                <w:sz w:val="12"/>
              </w:rPr>
              <w:t>Deut. 24:1</w:t>
            </w:r>
          </w:p>
        </w:tc>
        <w:tc>
          <w:tcPr>
            <w:tcW w:type="dxa" w:w="3561"/>
            <w:vAlign w:val="top"/>
          </w:tcPr>
          <w:p>
            <w:pPr>
              <w:spacing w:after="0" w:line="206" w:lineRule="auto"/>
            </w:pPr>
            <w:r>
              <w:rPr>
                <w:rFonts w:ascii="Times New Roman" w:hAnsi="Times New Roman"/>
                <w:sz w:val="12"/>
              </w:rPr>
              <w:t>‘ervat dabar</w:t>
            </w:r>
          </w:p>
        </w:tc>
        <w:tc>
          <w:tcPr>
            <w:tcW w:type="dxa" w:w="3561"/>
            <w:vAlign w:val="top"/>
          </w:tcPr>
          <w:p>
            <w:pPr>
              <w:spacing w:after="0" w:line="206" w:lineRule="auto"/>
            </w:pPr>
            <w:r>
              <w:rPr>
                <w:rFonts w:ascii="Times New Roman" w:hAnsi="Times New Roman"/>
                <w:sz w:val="12"/>
              </w:rPr>
              <w:t>Nakedness/indecency of a thing; exact ground disputed.</w:t>
            </w:r>
          </w:p>
        </w:tc>
      </w:tr>
      <w:tr>
        <w:tc>
          <w:tcPr>
            <w:tcW w:type="dxa" w:w="3561"/>
            <w:vAlign w:val="top"/>
          </w:tcPr>
          <w:p>
            <w:pPr>
              <w:spacing w:after="0" w:line="206" w:lineRule="auto"/>
            </w:pPr>
            <w:r>
              <w:rPr>
                <w:rFonts w:ascii="Times New Roman" w:hAnsi="Times New Roman"/>
                <w:sz w:val="12"/>
              </w:rPr>
              <w:t>Deut. 24:1</w:t>
            </w:r>
          </w:p>
        </w:tc>
        <w:tc>
          <w:tcPr>
            <w:tcW w:type="dxa" w:w="3561"/>
            <w:vAlign w:val="top"/>
          </w:tcPr>
          <w:p>
            <w:pPr>
              <w:spacing w:after="0" w:line="206" w:lineRule="auto"/>
            </w:pPr>
            <w:r>
              <w:rPr>
                <w:rFonts w:ascii="Times New Roman" w:hAnsi="Times New Roman"/>
                <w:sz w:val="12"/>
              </w:rPr>
              <w:t>sefer keritut</w:t>
            </w:r>
          </w:p>
        </w:tc>
        <w:tc>
          <w:tcPr>
            <w:tcW w:type="dxa" w:w="3561"/>
            <w:vAlign w:val="top"/>
          </w:tcPr>
          <w:p>
            <w:pPr>
              <w:spacing w:after="0" w:line="206" w:lineRule="auto"/>
            </w:pPr>
            <w:r>
              <w:rPr>
                <w:rFonts w:ascii="Times New Roman" w:hAnsi="Times New Roman"/>
                <w:sz w:val="12"/>
              </w:rPr>
              <w:t>Certificate of divorce/cutting-off.</w:t>
            </w:r>
          </w:p>
        </w:tc>
      </w:tr>
      <w:tr>
        <w:tc>
          <w:tcPr>
            <w:tcW w:type="dxa" w:w="3561"/>
            <w:vAlign w:val="top"/>
          </w:tcPr>
          <w:p>
            <w:pPr>
              <w:spacing w:after="0" w:line="206" w:lineRule="auto"/>
            </w:pPr>
            <w:r>
              <w:rPr>
                <w:rFonts w:ascii="Times New Roman" w:hAnsi="Times New Roman"/>
                <w:sz w:val="12"/>
              </w:rPr>
              <w:t>Deut. 24:1–3</w:t>
            </w:r>
          </w:p>
        </w:tc>
        <w:tc>
          <w:tcPr>
            <w:tcW w:type="dxa" w:w="3561"/>
            <w:vAlign w:val="top"/>
          </w:tcPr>
          <w:p>
            <w:pPr>
              <w:spacing w:after="0" w:line="206" w:lineRule="auto"/>
            </w:pPr>
            <w:r>
              <w:rPr>
                <w:rFonts w:ascii="Times New Roman" w:hAnsi="Times New Roman"/>
                <w:sz w:val="12"/>
              </w:rPr>
              <w:t>conditional sequence</w:t>
            </w:r>
          </w:p>
        </w:tc>
        <w:tc>
          <w:tcPr>
            <w:tcW w:type="dxa" w:w="3561"/>
            <w:vAlign w:val="top"/>
          </w:tcPr>
          <w:p>
            <w:pPr>
              <w:spacing w:after="0" w:line="206" w:lineRule="auto"/>
            </w:pPr>
            <w:r>
              <w:rPr>
                <w:rFonts w:ascii="Times New Roman" w:hAnsi="Times New Roman"/>
                <w:sz w:val="12"/>
              </w:rPr>
              <w:t>Situation described; command arrives in v.4.</w:t>
            </w:r>
          </w:p>
        </w:tc>
      </w:tr>
      <w:tr>
        <w:tc>
          <w:tcPr>
            <w:tcW w:type="dxa" w:w="3561"/>
            <w:vAlign w:val="top"/>
          </w:tcPr>
          <w:p>
            <w:pPr>
              <w:spacing w:after="0" w:line="206" w:lineRule="auto"/>
            </w:pPr>
            <w:r>
              <w:rPr>
                <w:rFonts w:ascii="Times New Roman" w:hAnsi="Times New Roman"/>
                <w:sz w:val="12"/>
              </w:rPr>
              <w:t>Deut. 24:2–3</w:t>
            </w:r>
          </w:p>
        </w:tc>
        <w:tc>
          <w:tcPr>
            <w:tcW w:type="dxa" w:w="3561"/>
            <w:vAlign w:val="top"/>
          </w:tcPr>
          <w:p>
            <w:pPr>
              <w:spacing w:after="0" w:line="206" w:lineRule="auto"/>
            </w:pPr>
            <w:r>
              <w:rPr>
                <w:rFonts w:ascii="Times New Roman" w:hAnsi="Times New Roman"/>
                <w:sz w:val="12"/>
              </w:rPr>
              <w:t>ish</w:t>
            </w:r>
          </w:p>
        </w:tc>
        <w:tc>
          <w:tcPr>
            <w:tcW w:type="dxa" w:w="3561"/>
            <w:vAlign w:val="top"/>
          </w:tcPr>
          <w:p>
            <w:pPr>
              <w:spacing w:after="0" w:line="206" w:lineRule="auto"/>
            </w:pPr>
            <w:r>
              <w:rPr>
                <w:rFonts w:ascii="Times New Roman" w:hAnsi="Times New Roman"/>
                <w:sz w:val="12"/>
              </w:rPr>
              <w:t>Man/husband; does not prove second marriage illegitimate.</w:t>
            </w:r>
          </w:p>
        </w:tc>
      </w:tr>
      <w:tr>
        <w:tc>
          <w:tcPr>
            <w:tcW w:type="dxa" w:w="3561"/>
            <w:vAlign w:val="top"/>
          </w:tcPr>
          <w:p>
            <w:pPr>
              <w:spacing w:after="0" w:line="206" w:lineRule="auto"/>
            </w:pPr>
            <w:r>
              <w:rPr>
                <w:rFonts w:ascii="Times New Roman" w:hAnsi="Times New Roman"/>
                <w:sz w:val="12"/>
              </w:rPr>
              <w:t>Deut. 24:4</w:t>
            </w:r>
          </w:p>
        </w:tc>
        <w:tc>
          <w:tcPr>
            <w:tcW w:type="dxa" w:w="3561"/>
            <w:vAlign w:val="top"/>
          </w:tcPr>
          <w:p>
            <w:pPr>
              <w:spacing w:after="0" w:line="206" w:lineRule="auto"/>
            </w:pPr>
            <w:r>
              <w:rPr>
                <w:rFonts w:ascii="Times New Roman" w:hAnsi="Times New Roman"/>
                <w:sz w:val="12"/>
              </w:rPr>
              <w:t>may not take her again</w:t>
            </w:r>
          </w:p>
        </w:tc>
        <w:tc>
          <w:tcPr>
            <w:tcW w:type="dxa" w:w="3561"/>
            <w:vAlign w:val="top"/>
          </w:tcPr>
          <w:p>
            <w:pPr>
              <w:spacing w:after="0" w:line="206" w:lineRule="auto"/>
            </w:pPr>
            <w:r>
              <w:rPr>
                <w:rFonts w:ascii="Times New Roman" w:hAnsi="Times New Roman"/>
                <w:sz w:val="12"/>
              </w:rPr>
              <w:t>Central prohibition after intervening marriage.</w:t>
            </w:r>
          </w:p>
        </w:tc>
      </w:tr>
      <w:tr>
        <w:tc>
          <w:tcPr>
            <w:tcW w:type="dxa" w:w="3561"/>
            <w:vAlign w:val="top"/>
          </w:tcPr>
          <w:p>
            <w:pPr>
              <w:spacing w:after="0" w:line="206" w:lineRule="auto"/>
            </w:pPr>
            <w:r>
              <w:rPr>
                <w:rFonts w:ascii="Times New Roman" w:hAnsi="Times New Roman"/>
                <w:sz w:val="12"/>
              </w:rPr>
              <w:t>Matt. 19:3–9</w:t>
            </w:r>
          </w:p>
        </w:tc>
        <w:tc>
          <w:tcPr>
            <w:tcW w:type="dxa" w:w="3561"/>
            <w:vAlign w:val="top"/>
          </w:tcPr>
          <w:p>
            <w:pPr>
              <w:spacing w:after="0" w:line="206" w:lineRule="auto"/>
            </w:pPr>
            <w:r>
              <w:rPr>
                <w:rFonts w:ascii="Times New Roman" w:hAnsi="Times New Roman"/>
                <w:sz w:val="12"/>
              </w:rPr>
              <w:t>hardness of heart / creation</w:t>
            </w:r>
          </w:p>
        </w:tc>
        <w:tc>
          <w:tcPr>
            <w:tcW w:type="dxa" w:w="3561"/>
            <w:vAlign w:val="top"/>
          </w:tcPr>
          <w:p>
            <w:pPr>
              <w:spacing w:after="0" w:line="206" w:lineRule="auto"/>
            </w:pPr>
            <w:r>
              <w:rPr>
                <w:rFonts w:ascii="Times New Roman" w:hAnsi="Times New Roman"/>
                <w:sz w:val="12"/>
              </w:rPr>
              <w:t>Jesus’ authoritative divorce discussion.</w:t>
            </w:r>
          </w:p>
        </w:tc>
      </w:tr>
      <w:tr>
        <w:tc>
          <w:tcPr>
            <w:tcW w:type="dxa" w:w="3561"/>
            <w:vAlign w:val="top"/>
          </w:tcPr>
          <w:p>
            <w:pPr>
              <w:spacing w:after="0" w:line="206" w:lineRule="auto"/>
            </w:pPr>
            <w:r>
              <w:rPr>
                <w:rFonts w:ascii="Times New Roman" w:hAnsi="Times New Roman"/>
                <w:sz w:val="12"/>
              </w:rPr>
              <w:t>Deut. 24:5</w:t>
            </w:r>
          </w:p>
        </w:tc>
        <w:tc>
          <w:tcPr>
            <w:tcW w:type="dxa" w:w="3561"/>
            <w:vAlign w:val="top"/>
          </w:tcPr>
          <w:p>
            <w:pPr>
              <w:spacing w:after="0" w:line="206" w:lineRule="auto"/>
            </w:pPr>
            <w:r>
              <w:rPr>
                <w:rFonts w:ascii="Times New Roman" w:hAnsi="Times New Roman"/>
                <w:sz w:val="12"/>
              </w:rPr>
              <w:t>simmach</w:t>
            </w:r>
          </w:p>
        </w:tc>
        <w:tc>
          <w:tcPr>
            <w:tcW w:type="dxa" w:w="3561"/>
            <w:vAlign w:val="top"/>
          </w:tcPr>
          <w:p>
            <w:pPr>
              <w:spacing w:after="0" w:line="206" w:lineRule="auto"/>
            </w:pPr>
            <w:r>
              <w:rPr>
                <w:rFonts w:ascii="Times New Roman" w:hAnsi="Times New Roman"/>
                <w:sz w:val="12"/>
              </w:rPr>
              <w:t>Gladden/rejoice with new wife.</w:t>
            </w:r>
          </w:p>
        </w:tc>
      </w:tr>
      <w:tr>
        <w:tc>
          <w:tcPr>
            <w:tcW w:type="dxa" w:w="3561"/>
            <w:vAlign w:val="top"/>
          </w:tcPr>
          <w:p>
            <w:pPr>
              <w:spacing w:after="0" w:line="206" w:lineRule="auto"/>
            </w:pPr>
            <w:r>
              <w:rPr>
                <w:rFonts w:ascii="Times New Roman" w:hAnsi="Times New Roman"/>
                <w:sz w:val="12"/>
              </w:rPr>
              <w:t>Deut. 24:6</w:t>
            </w:r>
          </w:p>
        </w:tc>
        <w:tc>
          <w:tcPr>
            <w:tcW w:type="dxa" w:w="3561"/>
            <w:vAlign w:val="top"/>
          </w:tcPr>
          <w:p>
            <w:pPr>
              <w:spacing w:after="0" w:line="206" w:lineRule="auto"/>
            </w:pPr>
            <w:r>
              <w:rPr>
                <w:rFonts w:ascii="Times New Roman" w:hAnsi="Times New Roman"/>
                <w:sz w:val="12"/>
              </w:rPr>
              <w:t>nephesh in pledge</w:t>
            </w:r>
          </w:p>
        </w:tc>
        <w:tc>
          <w:tcPr>
            <w:tcW w:type="dxa" w:w="3561"/>
            <w:vAlign w:val="top"/>
          </w:tcPr>
          <w:p>
            <w:pPr>
              <w:spacing w:after="0" w:line="206" w:lineRule="auto"/>
            </w:pPr>
            <w:r>
              <w:rPr>
                <w:rFonts w:ascii="Times New Roman" w:hAnsi="Times New Roman"/>
                <w:sz w:val="12"/>
              </w:rPr>
              <w:t>Life/livelihood, not immortal soul.</w:t>
            </w:r>
          </w:p>
        </w:tc>
      </w:tr>
      <w:tr>
        <w:tc>
          <w:tcPr>
            <w:tcW w:type="dxa" w:w="3561"/>
            <w:vAlign w:val="top"/>
          </w:tcPr>
          <w:p>
            <w:pPr>
              <w:spacing w:after="0" w:line="206" w:lineRule="auto"/>
            </w:pPr>
            <w:r>
              <w:rPr>
                <w:rFonts w:ascii="Times New Roman" w:hAnsi="Times New Roman"/>
                <w:sz w:val="12"/>
              </w:rPr>
              <w:t>Deut. 24:7</w:t>
            </w:r>
          </w:p>
        </w:tc>
        <w:tc>
          <w:tcPr>
            <w:tcW w:type="dxa" w:w="3561"/>
            <w:vAlign w:val="top"/>
          </w:tcPr>
          <w:p>
            <w:pPr>
              <w:spacing w:after="0" w:line="206" w:lineRule="auto"/>
            </w:pPr>
            <w:r>
              <w:rPr>
                <w:rFonts w:ascii="Times New Roman" w:hAnsi="Times New Roman"/>
                <w:sz w:val="12"/>
              </w:rPr>
              <w:t>kidnapping</w:t>
            </w:r>
          </w:p>
        </w:tc>
        <w:tc>
          <w:tcPr>
            <w:tcW w:type="dxa" w:w="3561"/>
            <w:vAlign w:val="top"/>
          </w:tcPr>
          <w:p>
            <w:pPr>
              <w:spacing w:after="0" w:line="206" w:lineRule="auto"/>
            </w:pPr>
            <w:r>
              <w:rPr>
                <w:rFonts w:ascii="Times New Roman" w:hAnsi="Times New Roman"/>
                <w:sz w:val="12"/>
              </w:rPr>
              <w:t>Steal person + enslave/sell.</w:t>
            </w:r>
          </w:p>
        </w:tc>
      </w:tr>
      <w:tr>
        <w:tc>
          <w:tcPr>
            <w:tcW w:type="dxa" w:w="3561"/>
            <w:vAlign w:val="top"/>
          </w:tcPr>
          <w:p>
            <w:pPr>
              <w:spacing w:after="0" w:line="206" w:lineRule="auto"/>
            </w:pPr>
            <w:r>
              <w:rPr>
                <w:rFonts w:ascii="Times New Roman" w:hAnsi="Times New Roman"/>
                <w:sz w:val="12"/>
              </w:rPr>
              <w:t>Deut. 24:8</w:t>
            </w:r>
          </w:p>
        </w:tc>
        <w:tc>
          <w:tcPr>
            <w:tcW w:type="dxa" w:w="3561"/>
            <w:vAlign w:val="top"/>
          </w:tcPr>
          <w:p>
            <w:pPr>
              <w:spacing w:after="0" w:line="206" w:lineRule="auto"/>
            </w:pPr>
            <w:r>
              <w:rPr>
                <w:rFonts w:ascii="Times New Roman" w:hAnsi="Times New Roman"/>
                <w:sz w:val="12"/>
              </w:rPr>
              <w:t>tsara‘at</w:t>
            </w:r>
          </w:p>
        </w:tc>
        <w:tc>
          <w:tcPr>
            <w:tcW w:type="dxa" w:w="3561"/>
            <w:vAlign w:val="top"/>
          </w:tcPr>
          <w:p>
            <w:pPr>
              <w:spacing w:after="0" w:line="206" w:lineRule="auto"/>
            </w:pPr>
            <w:r>
              <w:rPr>
                <w:rFonts w:ascii="Times New Roman" w:hAnsi="Times New Roman"/>
                <w:sz w:val="12"/>
              </w:rPr>
              <w:t>Biblical skin/ritual condition; not automatically Hansen’s disease.</w:t>
            </w:r>
          </w:p>
        </w:tc>
      </w:tr>
      <w:tr>
        <w:tc>
          <w:tcPr>
            <w:tcW w:type="dxa" w:w="3561"/>
            <w:vAlign w:val="top"/>
          </w:tcPr>
          <w:p>
            <w:pPr>
              <w:spacing w:after="0" w:line="206" w:lineRule="auto"/>
            </w:pPr>
            <w:r>
              <w:rPr>
                <w:rFonts w:ascii="Times New Roman" w:hAnsi="Times New Roman"/>
                <w:sz w:val="12"/>
              </w:rPr>
              <w:t>Deut. 24:9</w:t>
            </w:r>
          </w:p>
        </w:tc>
        <w:tc>
          <w:tcPr>
            <w:tcW w:type="dxa" w:w="3561"/>
            <w:vAlign w:val="top"/>
          </w:tcPr>
          <w:p>
            <w:pPr>
              <w:spacing w:after="0" w:line="206" w:lineRule="auto"/>
            </w:pPr>
            <w:r>
              <w:rPr>
                <w:rFonts w:ascii="Times New Roman" w:hAnsi="Times New Roman"/>
                <w:sz w:val="12"/>
              </w:rPr>
              <w:t>Miriam</w:t>
            </w:r>
          </w:p>
        </w:tc>
        <w:tc>
          <w:tcPr>
            <w:tcW w:type="dxa" w:w="3561"/>
            <w:vAlign w:val="top"/>
          </w:tcPr>
          <w:p>
            <w:pPr>
              <w:spacing w:after="0" w:line="206" w:lineRule="auto"/>
            </w:pPr>
            <w:r>
              <w:rPr>
                <w:rFonts w:ascii="Times New Roman" w:hAnsi="Times New Roman"/>
                <w:sz w:val="12"/>
              </w:rPr>
              <w:t>Numbers 12 warning.</w:t>
            </w:r>
          </w:p>
        </w:tc>
      </w:tr>
      <w:tr>
        <w:tc>
          <w:tcPr>
            <w:tcW w:type="dxa" w:w="3561"/>
            <w:vAlign w:val="top"/>
          </w:tcPr>
          <w:p>
            <w:pPr>
              <w:spacing w:after="0" w:line="206" w:lineRule="auto"/>
            </w:pPr>
            <w:r>
              <w:rPr>
                <w:rFonts w:ascii="Times New Roman" w:hAnsi="Times New Roman"/>
                <w:sz w:val="12"/>
              </w:rPr>
              <w:t>Deut. 24:10–11</w:t>
            </w:r>
          </w:p>
        </w:tc>
        <w:tc>
          <w:tcPr>
            <w:tcW w:type="dxa" w:w="3561"/>
            <w:vAlign w:val="top"/>
          </w:tcPr>
          <w:p>
            <w:pPr>
              <w:spacing w:after="0" w:line="206" w:lineRule="auto"/>
            </w:pPr>
            <w:r>
              <w:rPr>
                <w:rFonts w:ascii="Times New Roman" w:hAnsi="Times New Roman"/>
                <w:sz w:val="12"/>
              </w:rPr>
              <w:t>creditor outside</w:t>
            </w:r>
          </w:p>
        </w:tc>
        <w:tc>
          <w:tcPr>
            <w:tcW w:type="dxa" w:w="3561"/>
            <w:vAlign w:val="top"/>
          </w:tcPr>
          <w:p>
            <w:pPr>
              <w:spacing w:after="0" w:line="206" w:lineRule="auto"/>
            </w:pPr>
            <w:r>
              <w:rPr>
                <w:rFonts w:ascii="Times New Roman" w:hAnsi="Times New Roman"/>
                <w:sz w:val="12"/>
              </w:rPr>
              <w:t>Debtor retains domestic dignity.</w:t>
            </w:r>
          </w:p>
        </w:tc>
      </w:tr>
      <w:tr>
        <w:tc>
          <w:tcPr>
            <w:tcW w:type="dxa" w:w="3561"/>
            <w:vAlign w:val="top"/>
          </w:tcPr>
          <w:p>
            <w:pPr>
              <w:spacing w:after="0" w:line="206" w:lineRule="auto"/>
            </w:pPr>
            <w:r>
              <w:rPr>
                <w:rFonts w:ascii="Times New Roman" w:hAnsi="Times New Roman"/>
                <w:sz w:val="12"/>
              </w:rPr>
              <w:t>Deut. 24:12–13</w:t>
            </w:r>
          </w:p>
        </w:tc>
        <w:tc>
          <w:tcPr>
            <w:tcW w:type="dxa" w:w="3561"/>
            <w:vAlign w:val="top"/>
          </w:tcPr>
          <w:p>
            <w:pPr>
              <w:spacing w:after="0" w:line="206" w:lineRule="auto"/>
            </w:pPr>
            <w:r>
              <w:rPr>
                <w:rFonts w:ascii="Times New Roman" w:hAnsi="Times New Roman"/>
                <w:sz w:val="12"/>
              </w:rPr>
              <w:t>garment returned</w:t>
            </w:r>
          </w:p>
        </w:tc>
        <w:tc>
          <w:tcPr>
            <w:tcW w:type="dxa" w:w="3561"/>
            <w:vAlign w:val="top"/>
          </w:tcPr>
          <w:p>
            <w:pPr>
              <w:spacing w:after="0" w:line="206" w:lineRule="auto"/>
            </w:pPr>
            <w:r>
              <w:rPr>
                <w:rFonts w:ascii="Times New Roman" w:hAnsi="Times New Roman"/>
                <w:sz w:val="12"/>
              </w:rPr>
              <w:t>Basic survival protected.</w:t>
            </w:r>
          </w:p>
        </w:tc>
      </w:tr>
      <w:tr>
        <w:tc>
          <w:tcPr>
            <w:tcW w:type="dxa" w:w="3561"/>
            <w:vAlign w:val="top"/>
          </w:tcPr>
          <w:p>
            <w:pPr>
              <w:spacing w:after="0" w:line="206" w:lineRule="auto"/>
            </w:pPr>
            <w:r>
              <w:rPr>
                <w:rFonts w:ascii="Times New Roman" w:hAnsi="Times New Roman"/>
                <w:sz w:val="12"/>
              </w:rPr>
              <w:t>Deut. 24:14–15</w:t>
            </w:r>
          </w:p>
        </w:tc>
        <w:tc>
          <w:tcPr>
            <w:tcW w:type="dxa" w:w="3561"/>
            <w:vAlign w:val="top"/>
          </w:tcPr>
          <w:p>
            <w:pPr>
              <w:spacing w:after="0" w:line="206" w:lineRule="auto"/>
            </w:pPr>
            <w:r>
              <w:rPr>
                <w:rFonts w:ascii="Times New Roman" w:hAnsi="Times New Roman"/>
                <w:sz w:val="12"/>
              </w:rPr>
              <w:t>same-day wages</w:t>
            </w:r>
          </w:p>
        </w:tc>
        <w:tc>
          <w:tcPr>
            <w:tcW w:type="dxa" w:w="3561"/>
            <w:vAlign w:val="top"/>
          </w:tcPr>
          <w:p>
            <w:pPr>
              <w:spacing w:after="0" w:line="206" w:lineRule="auto"/>
            </w:pPr>
            <w:r>
              <w:rPr>
                <w:rFonts w:ascii="Times New Roman" w:hAnsi="Times New Roman"/>
                <w:sz w:val="12"/>
              </w:rPr>
              <w:t>Worker depends on pay.</w:t>
            </w:r>
          </w:p>
        </w:tc>
      </w:tr>
      <w:tr>
        <w:tc>
          <w:tcPr>
            <w:tcW w:type="dxa" w:w="3561"/>
            <w:vAlign w:val="top"/>
          </w:tcPr>
          <w:p>
            <w:pPr>
              <w:spacing w:after="0" w:line="206" w:lineRule="auto"/>
            </w:pPr>
            <w:r>
              <w:rPr>
                <w:rFonts w:ascii="Times New Roman" w:hAnsi="Times New Roman"/>
                <w:sz w:val="12"/>
              </w:rPr>
              <w:t>Deut. 24:16</w:t>
            </w:r>
          </w:p>
        </w:tc>
        <w:tc>
          <w:tcPr>
            <w:tcW w:type="dxa" w:w="3561"/>
            <w:vAlign w:val="top"/>
          </w:tcPr>
          <w:p>
            <w:pPr>
              <w:spacing w:after="0" w:line="206" w:lineRule="auto"/>
            </w:pPr>
            <w:r>
              <w:rPr>
                <w:rFonts w:ascii="Times New Roman" w:hAnsi="Times New Roman"/>
                <w:sz w:val="12"/>
              </w:rPr>
              <w:t>own sin</w:t>
            </w:r>
          </w:p>
        </w:tc>
        <w:tc>
          <w:tcPr>
            <w:tcW w:type="dxa" w:w="3561"/>
            <w:vAlign w:val="top"/>
          </w:tcPr>
          <w:p>
            <w:pPr>
              <w:spacing w:after="0" w:line="206" w:lineRule="auto"/>
            </w:pPr>
            <w:r>
              <w:rPr>
                <w:rFonts w:ascii="Times New Roman" w:hAnsi="Times New Roman"/>
                <w:sz w:val="12"/>
              </w:rPr>
              <w:t>Human judicial responsibility.</w:t>
            </w:r>
          </w:p>
        </w:tc>
      </w:tr>
      <w:tr>
        <w:tc>
          <w:tcPr>
            <w:tcW w:type="dxa" w:w="3561"/>
            <w:vAlign w:val="top"/>
          </w:tcPr>
          <w:p>
            <w:pPr>
              <w:spacing w:after="0" w:line="206" w:lineRule="auto"/>
            </w:pPr>
            <w:r>
              <w:rPr>
                <w:rFonts w:ascii="Times New Roman" w:hAnsi="Times New Roman"/>
                <w:sz w:val="12"/>
              </w:rPr>
              <w:t>Deut. 24:17–18</w:t>
            </w:r>
          </w:p>
        </w:tc>
        <w:tc>
          <w:tcPr>
            <w:tcW w:type="dxa" w:w="3561"/>
            <w:vAlign w:val="top"/>
          </w:tcPr>
          <w:p>
            <w:pPr>
              <w:spacing w:after="0" w:line="206" w:lineRule="auto"/>
            </w:pPr>
            <w:r>
              <w:rPr>
                <w:rFonts w:ascii="Times New Roman" w:hAnsi="Times New Roman"/>
                <w:sz w:val="12"/>
              </w:rPr>
              <w:t>stranger/orphan/widow</w:t>
            </w:r>
          </w:p>
        </w:tc>
        <w:tc>
          <w:tcPr>
            <w:tcW w:type="dxa" w:w="3561"/>
            <w:vAlign w:val="top"/>
          </w:tcPr>
          <w:p>
            <w:pPr>
              <w:spacing w:after="0" w:line="206" w:lineRule="auto"/>
            </w:pPr>
            <w:r>
              <w:rPr>
                <w:rFonts w:ascii="Times New Roman" w:hAnsi="Times New Roman"/>
                <w:sz w:val="12"/>
              </w:rPr>
              <w:t>Justice grounded in redemption memory.</w:t>
            </w:r>
          </w:p>
        </w:tc>
      </w:tr>
      <w:tr>
        <w:tc>
          <w:tcPr>
            <w:tcW w:type="dxa" w:w="3561"/>
            <w:vAlign w:val="top"/>
          </w:tcPr>
          <w:p>
            <w:pPr>
              <w:spacing w:after="0" w:line="206" w:lineRule="auto"/>
            </w:pPr>
            <w:r>
              <w:rPr>
                <w:rFonts w:ascii="Times New Roman" w:hAnsi="Times New Roman"/>
                <w:sz w:val="12"/>
              </w:rPr>
              <w:t>Deut. 24:19–21</w:t>
            </w:r>
          </w:p>
        </w:tc>
        <w:tc>
          <w:tcPr>
            <w:tcW w:type="dxa" w:w="3561"/>
            <w:vAlign w:val="top"/>
          </w:tcPr>
          <w:p>
            <w:pPr>
              <w:spacing w:after="0" w:line="206" w:lineRule="auto"/>
            </w:pPr>
            <w:r>
              <w:rPr>
                <w:rFonts w:ascii="Times New Roman" w:hAnsi="Times New Roman"/>
                <w:sz w:val="12"/>
              </w:rPr>
              <w:t>gleaning</w:t>
            </w:r>
          </w:p>
        </w:tc>
        <w:tc>
          <w:tcPr>
            <w:tcW w:type="dxa" w:w="3561"/>
            <w:vAlign w:val="top"/>
          </w:tcPr>
          <w:p>
            <w:pPr>
              <w:spacing w:after="0" w:line="206" w:lineRule="auto"/>
            </w:pPr>
            <w:r>
              <w:rPr>
                <w:rFonts w:ascii="Times New Roman" w:hAnsi="Times New Roman"/>
                <w:sz w:val="12"/>
              </w:rPr>
              <w:t>Forgotten/remaining produce reserved for vulnerable.</w:t>
            </w:r>
          </w:p>
        </w:tc>
      </w:tr>
      <w:tr>
        <w:tc>
          <w:tcPr>
            <w:tcW w:type="dxa" w:w="3561"/>
            <w:vAlign w:val="top"/>
          </w:tcPr>
          <w:p>
            <w:pPr>
              <w:spacing w:after="0" w:line="206" w:lineRule="auto"/>
            </w:pPr>
            <w:r>
              <w:rPr>
                <w:rFonts w:ascii="Times New Roman" w:hAnsi="Times New Roman"/>
                <w:sz w:val="12"/>
              </w:rPr>
              <w:t>Ruth 2</w:t>
            </w:r>
          </w:p>
        </w:tc>
        <w:tc>
          <w:tcPr>
            <w:tcW w:type="dxa" w:w="3561"/>
            <w:vAlign w:val="top"/>
          </w:tcPr>
          <w:p>
            <w:pPr>
              <w:spacing w:after="0" w:line="206" w:lineRule="auto"/>
            </w:pPr>
            <w:r>
              <w:rPr>
                <w:rFonts w:ascii="Times New Roman" w:hAnsi="Times New Roman"/>
                <w:sz w:val="12"/>
              </w:rPr>
              <w:t>gleaning in practice</w:t>
            </w:r>
          </w:p>
        </w:tc>
        <w:tc>
          <w:tcPr>
            <w:tcW w:type="dxa" w:w="3561"/>
            <w:vAlign w:val="top"/>
          </w:tcPr>
          <w:p>
            <w:pPr>
              <w:spacing w:after="0" w:line="206" w:lineRule="auto"/>
            </w:pPr>
            <w:r>
              <w:rPr>
                <w:rFonts w:ascii="Times New Roman" w:hAnsi="Times New Roman"/>
                <w:sz w:val="12"/>
              </w:rPr>
              <w:t>Agency and provision illustrated.</w:t>
            </w:r>
          </w:p>
        </w:tc>
      </w:tr>
    </w:tbl>
    <w:p>
      <w:pPr>
        <w:pStyle w:val="Heading1"/>
      </w:pPr>
      <w:r>
        <w:t>RESIDUAL UNCERTAINTIES</w:t>
      </w:r>
    </w:p>
    <w:p>
      <w:pPr/>
      <w:r>
        <w:rPr>
          <w:i w:val="0"/>
        </w:rPr>
        <w:t>The exact scope of `‘ervat dabar` and the sense of “defiled” in verse 4 remain debated. Mansfield’s claim that the second marriage is inherently adulterous and that Deuteronomy permits divorce only for one narrowly defined sexual offence is not supported strongly enough by the Hebrew grammar and has been corrected.</w:t>
      </w:r>
    </w:p>
    <w:sectPr w:rsidR="00FC693F" w:rsidRPr="0006063C" w:rsidSect="00034616">
      <w:headerReference w:type="default" r:id="rId9"/>
      <w:footerReference w:type="default" r:id="rId10"/>
      <w:pgSz w:w="12240" w:h="15840"/>
      <w:pgMar w:top="691" w:right="778" w:bottom="691"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DEUTERONOMY 24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5" w:line="233" w:lineRule="auto"/>
    </w:pPr>
    <w:rPr>
      <w:rFonts w:ascii="Times New Roman" w:hAnsi="Times New Roman"/>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 w:after="7"/>
      <w:outlineLvl w:val="0"/>
    </w:pPr>
    <w:rPr>
      <w:rFonts w:asciiTheme="majorHAnsi" w:eastAsiaTheme="majorEastAsia" w:hAnsiTheme="majorHAnsi" w:cstheme="majorBidi" w:ascii="Arial" w:hAnsi="Arial"/>
      <w:b/>
      <w:bCs/>
      <w:color w:val="2761A1"/>
      <w:sz w:val="23"/>
      <w:szCs w:val="28"/>
    </w:rPr>
  </w:style>
  <w:style w:type="paragraph" w:styleId="Heading2">
    <w:name w:val="heading 2"/>
    <w:basedOn w:val="Normal"/>
    <w:next w:val="Normal"/>
    <w:link w:val="Heading2Char"/>
    <w:uiPriority w:val="9"/>
    <w:unhideWhenUsed/>
    <w:qFormat/>
    <w:rsid w:val="00FC693F"/>
    <w:pPr>
      <w:keepNext/>
      <w:keepLines/>
      <w:spacing w:before="21" w:after="7"/>
      <w:outlineLvl w:val="1"/>
    </w:pPr>
    <w:rPr>
      <w:rFonts w:asciiTheme="majorHAnsi" w:eastAsiaTheme="majorEastAsia" w:hAnsiTheme="majorHAnsi" w:cstheme="majorBidi" w:ascii="Arial" w:hAnsi="Arial"/>
      <w:b/>
      <w:bCs/>
      <w:color w:val="2761A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