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DEUTERONOMY 25</w:t>
      </w:r>
    </w:p>
    <w:p>
      <w:pPr>
        <w:pStyle w:val="Subtitle"/>
      </w:pPr>
      <w:r>
        <w:t>MEASURED JUSTICE • FORTY STRIPES, NOT MORE • THE WORKING OX • LEVIRATE RESPONSIBILITY • THE SHOE-LOOSING RITE • BODILY DIGNITY • HONEST WEIGHTS • REMEMBER AMALEK</w:t>
      </w:r>
    </w:p>
    <w:p>
      <w:pPr/>
      <w:r>
        <w:rPr>
          <w:i/>
        </w:rPr>
        <w:t>H. P. Mansfield Bible notes — checked and arranged in verse-by-verse Expositor style</w:t>
      </w:r>
    </w:p>
    <w:p>
      <w:pPr/>
      <w:r>
        <w:rPr>
          <w:i w:val="0"/>
        </w:rPr>
        <w:t>Source: HPB 04-Deu01-Jud04.PDF pp. 38–39; cross-checked with Mansfield’s Deuteronomy Expositor Chapter 25, Ruth 4 and Paul’s citations in 1 Corinthians 9 and 1 Timothy 5.</w:t>
      </w:r>
    </w:p>
    <w:p>
      <w:pPr>
        <w:pStyle w:val="Heading1"/>
      </w:pPr>
      <w:r>
        <w:t>CHAPTER OVERVIEW</w:t>
      </w:r>
    </w:p>
    <w:p>
      <w:pPr/>
      <w:r>
        <w:rPr>
          <w:i w:val="0"/>
        </w:rPr>
        <w:t>Deuteronomy 25 limits punishment, protects labour, preserves family inheritance, regulates a difficult bodily-assault case, requires commercial honesty and commands Israel to remember Amalek’s predatory attack.</w:t>
      </w:r>
    </w:p>
    <w:p>
      <w:pPr/>
      <w:r>
        <w:rPr>
          <w:i w:val="0"/>
        </w:rPr>
        <w:t>The consistent principle is justice with restraint: punishment must not become degradation, labour must not be exploited, family duty cannot be evaded without public shame, and trade must not be manipulated by false measures.</w:t>
      </w:r>
    </w:p>
    <w:p>
      <w:pPr>
        <w:pStyle w:val="Heading1"/>
      </w:pPr>
      <w:r>
        <w:t>PUNISHMENT MUST BE PROPORTIONATE — DEUTERONOMY 25:1–3</w:t>
      </w:r>
    </w:p>
    <w:p>
      <w:pPr>
        <w:pStyle w:val="Heading2"/>
      </w:pPr>
      <w:r>
        <w:t>Deuteronomy 25:1 — judges distinguish righteous and wicked</w:t>
      </w:r>
    </w:p>
    <w:p>
      <w:pPr/>
      <w:r>
        <w:rPr>
          <w:i w:val="0"/>
        </w:rPr>
        <w:t>When a legal dispute is brought before judges, they justify the party in the right and condemn the party in the wrong.</w:t>
      </w:r>
    </w:p>
    <w:p>
      <w:pPr/>
      <w:r>
        <w:rPr>
          <w:i w:val="0"/>
        </w:rPr>
        <w:t>The verbs concern judicial verdict, not a doctrine that courts make morally wicked people intrinsically righteous.</w:t>
      </w:r>
    </w:p>
    <w:p>
      <w:pPr>
        <w:pStyle w:val="Heading2"/>
      </w:pPr>
      <w:r>
        <w:t>Deuteronomy 25:2–3 — no more than forty lashes</w:t>
      </w:r>
    </w:p>
    <w:p>
      <w:pPr/>
      <w:r>
        <w:rPr>
          <w:i w:val="0"/>
        </w:rPr>
        <w:t>If corporal punishment is appropriate, the judge orders a number proportionate to the offence. The maximum is forty strokes so that the punished man is not degraded beyond measure before his brother.</w:t>
      </w:r>
    </w:p>
    <w:p>
      <w:pPr/>
      <w:r>
        <w:rPr>
          <w:i w:val="0"/>
        </w:rPr>
        <w:t>Later Jewish practice stopped at thirty-nine to avoid accidentally exceeding forty. Paul’s “forty stripes save one” in 2 Corinthians 11:24 confirms that later practice, but Torah itself says forty as the maximum and does not prescribe the later administering instrument.</w:t>
      </w:r>
    </w:p>
    <w:p>
      <w:pPr>
        <w:pStyle w:val="Heading1"/>
      </w:pPr>
      <w:r>
        <w:t>THE WORKING OX — DEUTERONOMY 25:4</w:t>
      </w:r>
    </w:p>
    <w:p>
      <w:pPr>
        <w:pStyle w:val="Heading2"/>
      </w:pPr>
      <w:r>
        <w:t>Deuteronomy 25:4 — do not muzzle while threshing</w:t>
      </w:r>
    </w:p>
    <w:p>
      <w:pPr/>
      <w:r>
        <w:rPr>
          <w:i w:val="0"/>
        </w:rPr>
        <w:t>An ox treading grain must be allowed to eat while working.</w:t>
      </w:r>
    </w:p>
    <w:p>
      <w:pPr/>
      <w:r>
        <w:rPr>
          <w:i w:val="0"/>
        </w:rPr>
        <w:t>The literal law plainly shows humane consideration for the labouring animal. Paul then applies its principle to human labourers in Gospel service in 1 Corinthians 9:9–10 and 1 Timothy 5:18. His application does not erase the law’s literal animal welfare.</w:t>
      </w:r>
    </w:p>
    <w:p>
      <w:pPr>
        <w:pStyle w:val="Heading1"/>
      </w:pPr>
      <w:r>
        <w:t>LEVIRATE DUTY — DEUTERONOMY 25:5–10</w:t>
      </w:r>
    </w:p>
    <w:p>
      <w:pPr>
        <w:pStyle w:val="Heading2"/>
      </w:pPr>
      <w:r>
        <w:t>Deuteronomy 25:5 — brothers dwelling together</w:t>
      </w:r>
    </w:p>
    <w:p>
      <w:pPr/>
      <w:r>
        <w:rPr>
          <w:i w:val="0"/>
        </w:rPr>
        <w:t>If brothers live within the same family setting and one dies without offspring, the widow is not to marry outside the family; the surviving brother is to perform the `yibbum`, brother-in-law duty.</w:t>
      </w:r>
    </w:p>
    <w:p>
      <w:pPr/>
      <w:r>
        <w:rPr>
          <w:i w:val="0"/>
        </w:rPr>
        <w:t>The Hebrew says the dead man has no `ben`, normally son, though the wider inheritance context has led many to understand the issue as no surviving child able to preserve the line.</w:t>
      </w:r>
    </w:p>
    <w:p>
      <w:pPr>
        <w:pStyle w:val="Heading2"/>
      </w:pPr>
      <w:r>
        <w:t>Deuteronomy 25:6 — preserve the dead brother’s name</w:t>
      </w:r>
    </w:p>
    <w:p>
      <w:pPr/>
      <w:r>
        <w:rPr>
          <w:i w:val="0"/>
        </w:rPr>
        <w:t>The firstborn of the levirate union succeeds in the name of the deceased so that his name is not blotted out of Israel.</w:t>
      </w:r>
    </w:p>
    <w:p>
      <w:pPr/>
      <w:r>
        <w:rPr>
          <w:i w:val="0"/>
        </w:rPr>
        <w:t>The law protects family continuity and inherited place in Yahweh’s land.</w:t>
      </w:r>
    </w:p>
    <w:p>
      <w:pPr>
        <w:pStyle w:val="Heading2"/>
      </w:pPr>
      <w:r>
        <w:t>Deuteronomy 25:7–9 — refusal is public</w:t>
      </w:r>
    </w:p>
    <w:p>
      <w:pPr/>
      <w:r>
        <w:rPr>
          <w:i w:val="0"/>
        </w:rPr>
        <w:t>If the man refuses, the widow appeals to elders at the gate. After the elders speak with him and he persists, she removes his sandal and spits `bepanaw`, in/before his face, declaring the shame of refusing to build his brother’s house.</w:t>
      </w:r>
    </w:p>
    <w:p>
      <w:pPr/>
      <w:r>
        <w:rPr>
          <w:i w:val="0"/>
        </w:rPr>
        <w:t>Whether the spitting lands literally on the face or is performed before him is debated; the public disgrace is clear.</w:t>
      </w:r>
    </w:p>
    <w:p>
      <w:pPr>
        <w:pStyle w:val="Heading2"/>
      </w:pPr>
      <w:r>
        <w:t>Ruth 4 — related, but not identical ceremony</w:t>
      </w:r>
    </w:p>
    <w:p>
      <w:pPr/>
      <w:r>
        <w:rPr>
          <w:i w:val="0"/>
        </w:rPr>
        <w:t>Ruth 4 uses a sandal-removal custom to confirm transfer/redemption when the nearer kinsman declines. The nearer man removes his own sandal and gives it to Boaz.</w:t>
      </w:r>
    </w:p>
    <w:p>
      <w:pPr/>
      <w:r>
        <w:rPr>
          <w:i w:val="0"/>
        </w:rPr>
        <w:t>That transaction is related to levirate/kinsman-redeemer principles but is not the exact Deuteronomy 25 humiliation rite: Ruth does not remove the man’s sandal or spit before him, and Boaz is not described as the deceased husband’s literal brother.</w:t>
      </w:r>
    </w:p>
    <w:p>
      <w:pPr>
        <w:pStyle w:val="Heading2"/>
      </w:pPr>
      <w:r>
        <w:t>Deuteronomy 25:10 — house of the unsandalled man</w:t>
      </w:r>
    </w:p>
    <w:p>
      <w:pPr/>
      <w:r>
        <w:rPr>
          <w:i w:val="0"/>
        </w:rPr>
        <w:t>His household becomes known by the refusal, preserving social memory of neglected brotherly responsibility.</w:t>
      </w:r>
    </w:p>
    <w:p>
      <w:pPr>
        <w:pStyle w:val="Heading1"/>
      </w:pPr>
      <w:r>
        <w:t>IMPROPER INTERVENTION IN A FIGHT — DEUTERONOMY 25:11–12</w:t>
      </w:r>
    </w:p>
    <w:p>
      <w:pPr>
        <w:pStyle w:val="Heading2"/>
      </w:pPr>
      <w:r>
        <w:t>Deuteronomy 25:11–12 — severe bodily penalty</w:t>
      </w:r>
    </w:p>
    <w:p>
      <w:pPr/>
      <w:r>
        <w:rPr>
          <w:i w:val="0"/>
        </w:rPr>
        <w:t>If a wife intervenes in a fight to rescue her husband by seizing the other man’s genital organs, the law commands cutting off her hand/palm and forbids pity.</w:t>
      </w:r>
    </w:p>
    <w:p>
      <w:pPr/>
      <w:r>
        <w:rPr>
          <w:i w:val="0"/>
        </w:rPr>
        <w:t>The Hebrew `qatsats kappah` naturally reads as a literal amputation penalty. Some interpreters have proposed monetary or other non-literal readings, but the straightforward wording is severe bodily punishment. This is ancient Israelite civil law and not a transferable Christian penalty.</w:t>
      </w:r>
    </w:p>
    <w:p>
      <w:pPr>
        <w:pStyle w:val="Heading1"/>
      </w:pPr>
      <w:r>
        <w:t>HONEST WEIGHTS AND MEASURES — DEUTERONOMY 25:13–16</w:t>
      </w:r>
    </w:p>
    <w:p>
      <w:pPr>
        <w:pStyle w:val="Heading2"/>
      </w:pPr>
      <w:r>
        <w:t>Deuteronomy 25:13–14 — no two sets of weights</w:t>
      </w:r>
    </w:p>
    <w:p>
      <w:pPr/>
      <w:r>
        <w:rPr>
          <w:i w:val="0"/>
        </w:rPr>
        <w:t>Israel must not keep a large and small stone-weight or two different ephah measures to manipulate buying and selling.</w:t>
      </w:r>
    </w:p>
    <w:p>
      <w:pPr>
        <w:pStyle w:val="Heading2"/>
      </w:pPr>
      <w:r>
        <w:t>Deuteronomy 25:15 — full and just</w:t>
      </w:r>
    </w:p>
    <w:p>
      <w:pPr/>
      <w:r>
        <w:rPr>
          <w:i w:val="0"/>
        </w:rPr>
        <w:t>A `even shelemah vatsedeq`—full/complete and just weight—and a full and just measure must be used.</w:t>
      </w:r>
    </w:p>
    <w:p>
      <w:pPr/>
      <w:r>
        <w:rPr>
          <w:i w:val="0"/>
        </w:rPr>
        <w:t>Commercial integrity is covenant righteousness in ordinary life.</w:t>
      </w:r>
    </w:p>
    <w:p>
      <w:pPr>
        <w:pStyle w:val="Heading2"/>
      </w:pPr>
      <w:r>
        <w:t>Deuteronomy 25:16 — fraud is an abomination</w:t>
      </w:r>
    </w:p>
    <w:p>
      <w:pPr/>
      <w:r>
        <w:rPr>
          <w:i w:val="0"/>
        </w:rPr>
        <w:t>Those who practice such unrighteousness are an abomination to Yahweh.</w:t>
      </w:r>
    </w:p>
    <w:p>
      <w:pPr/>
      <w:r>
        <w:rPr>
          <w:i w:val="0"/>
        </w:rPr>
        <w:t>Dishonest trade is treated as a spiritual offence, not merely poor commercial etiquette.</w:t>
      </w:r>
    </w:p>
    <w:p>
      <w:pPr>
        <w:pStyle w:val="Heading1"/>
      </w:pPr>
      <w:r>
        <w:t>REMEMBER AMALEK — DEUTERONOMY 25:17–19</w:t>
      </w:r>
    </w:p>
    <w:p>
      <w:pPr>
        <w:pStyle w:val="Heading2"/>
      </w:pPr>
      <w:r>
        <w:t>Deuteronomy 25:17–18 — attack on the stragglers</w:t>
      </w:r>
    </w:p>
    <w:p>
      <w:pPr/>
      <w:r>
        <w:rPr>
          <w:i w:val="0"/>
        </w:rPr>
        <w:t>Israel must remember how Amalek attacked on the journey from Egypt, cutting off `hannecheshalim`, those lagging/straggling behind, when Israel was weary, and “he feared not God.”</w:t>
      </w:r>
    </w:p>
    <w:p>
      <w:pPr/>
      <w:r>
        <w:rPr>
          <w:i w:val="0"/>
        </w:rPr>
        <w:t>The offence is predatory attack upon the vulnerable.</w:t>
      </w:r>
    </w:p>
    <w:p>
      <w:pPr>
        <w:pStyle w:val="Heading2"/>
      </w:pPr>
      <w:r>
        <w:t>Deuteronomy 25:19 — blot out, yet do not forget</w:t>
      </w:r>
    </w:p>
    <w:p>
      <w:pPr/>
      <w:r>
        <w:rPr>
          <w:i w:val="0"/>
        </w:rPr>
        <w:t>When Yahweh gives Israel rest, Israel is to blot out Amalek’s remembrance from under heaven and is commanded, paradoxically, “thou shalt not forget.”</w:t>
      </w:r>
    </w:p>
    <w:p>
      <w:pPr/>
      <w:r>
        <w:rPr>
          <w:i w:val="0"/>
        </w:rPr>
        <w:t>Israel must keep the obligation in memory until the appointed judgment is executed. Mansfield’s broader identification of Amalek with “the flesh politically manifested” is typology, not the literal ethnic meaning of the command.</w:t>
      </w:r>
    </w:p>
    <w:p>
      <w:pPr>
        <w:pStyle w:val="Heading1"/>
      </w:pPr>
      <w:r>
        <w:t>PRINCIPAL THEMES</w:t>
      </w:r>
    </w:p>
    <w:p>
      <w:pPr>
        <w:ind w:left="259" w:hanging="202"/>
      </w:pPr>
      <w:r>
        <w:rPr>
          <w:b/>
        </w:rPr>
        <w:t xml:space="preserve">• </w:t>
      </w:r>
      <w:r>
        <w:t>Forty is the Torah maximum; thirty-nine is later Jewish practice confirmed by Paul.</w:t>
      </w:r>
    </w:p>
    <w:p>
      <w:pPr>
        <w:ind w:left="259" w:hanging="202"/>
      </w:pPr>
      <w:r>
        <w:rPr>
          <w:b/>
        </w:rPr>
        <w:t xml:space="preserve">• </w:t>
      </w:r>
      <w:r>
        <w:t>Paul’s ministerial application of the unmuzzled ox does not cancel the law’s literal humane protection of an animal.</w:t>
      </w:r>
    </w:p>
    <w:p>
      <w:pPr>
        <w:ind w:left="259" w:hanging="202"/>
      </w:pPr>
      <w:r>
        <w:rPr>
          <w:b/>
        </w:rPr>
        <w:t xml:space="preserve">• </w:t>
      </w:r>
      <w:r>
        <w:t>Levirate marriage preserves family name and inheritance.</w:t>
      </w:r>
    </w:p>
    <w:p>
      <w:pPr>
        <w:ind w:left="259" w:hanging="202"/>
      </w:pPr>
      <w:r>
        <w:rPr>
          <w:b/>
        </w:rPr>
        <w:t xml:space="preserve">• </w:t>
      </w:r>
      <w:r>
        <w:t>Ruth 4 uses a related sandal custom but is not the exact Deuteronomy 25 humiliation rite.</w:t>
      </w:r>
    </w:p>
    <w:p>
      <w:pPr>
        <w:ind w:left="259" w:hanging="202"/>
      </w:pPr>
      <w:r>
        <w:rPr>
          <w:b/>
        </w:rPr>
        <w:t xml:space="preserve">• </w:t>
      </w:r>
      <w:r>
        <w:t>The spitting phrase can mean in/before his face; exact physical action is debated.</w:t>
      </w:r>
    </w:p>
    <w:p>
      <w:pPr>
        <w:ind w:left="259" w:hanging="202"/>
      </w:pPr>
      <w:r>
        <w:rPr>
          <w:b/>
        </w:rPr>
        <w:t xml:space="preserve">• </w:t>
      </w:r>
      <w:r>
        <w:t>Verses 11–12 most naturally describe a literal severe bodily penalty under Israel’s ancient civil law.</w:t>
      </w:r>
    </w:p>
    <w:p>
      <w:pPr>
        <w:ind w:left="259" w:hanging="202"/>
      </w:pPr>
      <w:r>
        <w:rPr>
          <w:b/>
        </w:rPr>
        <w:t xml:space="preserve">• </w:t>
      </w:r>
      <w:r>
        <w:t>Honest weights must be full and just.</w:t>
      </w:r>
    </w:p>
    <w:p>
      <w:pPr>
        <w:ind w:left="259" w:hanging="202"/>
      </w:pPr>
      <w:r>
        <w:rPr>
          <w:b/>
        </w:rPr>
        <w:t xml:space="preserve">• </w:t>
      </w:r>
      <w:r>
        <w:t>Amalek attacked the weary stragglers and did not fear God.</w:t>
      </w:r>
    </w:p>
    <w:p>
      <w:pPr>
        <w:ind w:left="259" w:hanging="202"/>
      </w:pPr>
      <w:r>
        <w:rPr>
          <w:b/>
        </w:rPr>
        <w:t xml:space="preserve">• </w:t>
      </w:r>
      <w:r>
        <w:t>Amalek-as-flesh is Mansfield typology, not the text’s lexical identity.</w:t>
      </w:r>
    </w:p>
    <w:p>
      <w:pPr>
        <w:ind w:left="259" w:hanging="202"/>
      </w:pPr>
      <w:r>
        <w:rPr>
          <w:b/>
        </w:rPr>
        <w:t xml:space="preserve">• </w:t>
      </w:r>
      <w:r>
        <w:t>Remembering Amalek continues until the commanded blotting-out is accomplished.</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61"/>
        <w:gridCol w:w="3561"/>
        <w:gridCol w:w="3561"/>
      </w:tblGrid>
      <w:tr>
        <w:tc>
          <w:tcPr>
            <w:tcW w:type="dxa" w:w="3561"/>
          </w:tcPr>
          <w:p>
            <w:r>
              <w:rPr>
                <w:rFonts w:ascii="Arial" w:hAnsi="Arial"/>
                <w:b/>
                <w:sz w:val="15"/>
              </w:rPr>
              <w:t>Location</w:t>
            </w:r>
          </w:p>
        </w:tc>
        <w:tc>
          <w:tcPr>
            <w:tcW w:type="dxa" w:w="3561"/>
          </w:tcPr>
          <w:p>
            <w:r>
              <w:rPr>
                <w:rFonts w:ascii="Arial" w:hAnsi="Arial"/>
                <w:b/>
                <w:sz w:val="15"/>
              </w:rPr>
              <w:t>Checked / corrected reading</w:t>
            </w:r>
          </w:p>
        </w:tc>
        <w:tc>
          <w:tcPr>
            <w:tcW w:type="dxa" w:w="3561"/>
          </w:tcPr>
          <w:p>
            <w:r>
              <w:rPr>
                <w:rFonts w:ascii="Arial" w:hAnsi="Arial"/>
                <w:b/>
                <w:sz w:val="15"/>
              </w:rPr>
              <w:t>Basis</w:t>
            </w:r>
          </w:p>
        </w:tc>
      </w:tr>
      <w:tr>
        <w:tc>
          <w:tcPr>
            <w:tcW w:type="dxa" w:w="3561"/>
            <w:vAlign w:val="top"/>
          </w:tcPr>
          <w:p>
            <w:pPr>
              <w:spacing w:after="0" w:line="223" w:lineRule="auto"/>
            </w:pPr>
            <w:r>
              <w:rPr>
                <w:rFonts w:ascii="Times New Roman" w:hAnsi="Times New Roman"/>
                <w:sz w:val="13"/>
              </w:rPr>
              <w:t>Deut. 25:3</w:t>
            </w:r>
          </w:p>
        </w:tc>
        <w:tc>
          <w:tcPr>
            <w:tcW w:type="dxa" w:w="3561"/>
            <w:vAlign w:val="top"/>
          </w:tcPr>
          <w:p>
            <w:pPr>
              <w:spacing w:after="0" w:line="223" w:lineRule="auto"/>
            </w:pPr>
            <w:r>
              <w:rPr>
                <w:rFonts w:ascii="Times New Roman" w:hAnsi="Times New Roman"/>
                <w:sz w:val="13"/>
              </w:rPr>
              <w:t>40 maximum</w:t>
            </w:r>
          </w:p>
        </w:tc>
        <w:tc>
          <w:tcPr>
            <w:tcW w:type="dxa" w:w="3561"/>
            <w:vAlign w:val="top"/>
          </w:tcPr>
          <w:p>
            <w:pPr>
              <w:spacing w:after="0" w:line="223" w:lineRule="auto"/>
            </w:pPr>
            <w:r>
              <w:rPr>
                <w:rFonts w:ascii="Times New Roman" w:hAnsi="Times New Roman"/>
                <w:sz w:val="13"/>
              </w:rPr>
              <w:t>Later Judaism commonly used 39; compare 2 Cor. 11:24.</w:t>
            </w:r>
          </w:p>
        </w:tc>
      </w:tr>
      <w:tr>
        <w:tc>
          <w:tcPr>
            <w:tcW w:type="dxa" w:w="3561"/>
            <w:vAlign w:val="top"/>
          </w:tcPr>
          <w:p>
            <w:pPr>
              <w:spacing w:after="0" w:line="223" w:lineRule="auto"/>
            </w:pPr>
            <w:r>
              <w:rPr>
                <w:rFonts w:ascii="Times New Roman" w:hAnsi="Times New Roman"/>
                <w:sz w:val="13"/>
              </w:rPr>
              <w:t>Deut. 25:4</w:t>
            </w:r>
          </w:p>
        </w:tc>
        <w:tc>
          <w:tcPr>
            <w:tcW w:type="dxa" w:w="3561"/>
            <w:vAlign w:val="top"/>
          </w:tcPr>
          <w:p>
            <w:pPr>
              <w:spacing w:after="0" w:line="223" w:lineRule="auto"/>
            </w:pPr>
            <w:r>
              <w:rPr>
                <w:rFonts w:ascii="Times New Roman" w:hAnsi="Times New Roman"/>
                <w:sz w:val="13"/>
              </w:rPr>
              <w:t>unmuzzled ox</w:t>
            </w:r>
          </w:p>
        </w:tc>
        <w:tc>
          <w:tcPr>
            <w:tcW w:type="dxa" w:w="3561"/>
            <w:vAlign w:val="top"/>
          </w:tcPr>
          <w:p>
            <w:pPr>
              <w:spacing w:after="0" w:line="223" w:lineRule="auto"/>
            </w:pPr>
            <w:r>
              <w:rPr>
                <w:rFonts w:ascii="Times New Roman" w:hAnsi="Times New Roman"/>
                <w:sz w:val="13"/>
              </w:rPr>
              <w:t>Literal animal protection + Pauline labourer application.</w:t>
            </w:r>
          </w:p>
        </w:tc>
      </w:tr>
      <w:tr>
        <w:tc>
          <w:tcPr>
            <w:tcW w:type="dxa" w:w="3561"/>
            <w:vAlign w:val="top"/>
          </w:tcPr>
          <w:p>
            <w:pPr>
              <w:spacing w:after="0" w:line="223" w:lineRule="auto"/>
            </w:pPr>
            <w:r>
              <w:rPr>
                <w:rFonts w:ascii="Times New Roman" w:hAnsi="Times New Roman"/>
                <w:sz w:val="13"/>
              </w:rPr>
              <w:t>1 Cor. 9:9–10</w:t>
            </w:r>
          </w:p>
        </w:tc>
        <w:tc>
          <w:tcPr>
            <w:tcW w:type="dxa" w:w="3561"/>
            <w:vAlign w:val="top"/>
          </w:tcPr>
          <w:p>
            <w:pPr>
              <w:spacing w:after="0" w:line="223" w:lineRule="auto"/>
            </w:pPr>
            <w:r>
              <w:rPr>
                <w:rFonts w:ascii="Times New Roman" w:hAnsi="Times New Roman"/>
                <w:sz w:val="13"/>
              </w:rPr>
              <w:t>Paul applies ox law</w:t>
            </w:r>
          </w:p>
        </w:tc>
        <w:tc>
          <w:tcPr>
            <w:tcW w:type="dxa" w:w="3561"/>
            <w:vAlign w:val="top"/>
          </w:tcPr>
          <w:p>
            <w:pPr>
              <w:spacing w:after="0" w:line="223" w:lineRule="auto"/>
            </w:pPr>
            <w:r>
              <w:rPr>
                <w:rFonts w:ascii="Times New Roman" w:hAnsi="Times New Roman"/>
                <w:sz w:val="13"/>
              </w:rPr>
              <w:t>Support for Gospel labourers; not erasure of literal law.</w:t>
            </w:r>
          </w:p>
        </w:tc>
      </w:tr>
      <w:tr>
        <w:tc>
          <w:tcPr>
            <w:tcW w:type="dxa" w:w="3561"/>
            <w:vAlign w:val="top"/>
          </w:tcPr>
          <w:p>
            <w:pPr>
              <w:spacing w:after="0" w:line="223" w:lineRule="auto"/>
            </w:pPr>
            <w:r>
              <w:rPr>
                <w:rFonts w:ascii="Times New Roman" w:hAnsi="Times New Roman"/>
                <w:sz w:val="13"/>
              </w:rPr>
              <w:t>1 Tim. 5:18</w:t>
            </w:r>
          </w:p>
        </w:tc>
        <w:tc>
          <w:tcPr>
            <w:tcW w:type="dxa" w:w="3561"/>
            <w:vAlign w:val="top"/>
          </w:tcPr>
          <w:p>
            <w:pPr>
              <w:spacing w:after="0" w:line="223" w:lineRule="auto"/>
            </w:pPr>
            <w:r>
              <w:rPr>
                <w:rFonts w:ascii="Times New Roman" w:hAnsi="Times New Roman"/>
                <w:sz w:val="13"/>
              </w:rPr>
              <w:t>ox law quoted</w:t>
            </w:r>
          </w:p>
        </w:tc>
        <w:tc>
          <w:tcPr>
            <w:tcW w:type="dxa" w:w="3561"/>
            <w:vAlign w:val="top"/>
          </w:tcPr>
          <w:p>
            <w:pPr>
              <w:spacing w:after="0" w:line="223" w:lineRule="auto"/>
            </w:pPr>
            <w:r>
              <w:rPr>
                <w:rFonts w:ascii="Times New Roman" w:hAnsi="Times New Roman"/>
                <w:sz w:val="13"/>
              </w:rPr>
              <w:t>Labourer worthy of reward.</w:t>
            </w:r>
          </w:p>
        </w:tc>
      </w:tr>
      <w:tr>
        <w:tc>
          <w:tcPr>
            <w:tcW w:type="dxa" w:w="3561"/>
            <w:vAlign w:val="top"/>
          </w:tcPr>
          <w:p>
            <w:pPr>
              <w:spacing w:after="0" w:line="223" w:lineRule="auto"/>
            </w:pPr>
            <w:r>
              <w:rPr>
                <w:rFonts w:ascii="Times New Roman" w:hAnsi="Times New Roman"/>
                <w:sz w:val="13"/>
              </w:rPr>
              <w:t>Deut. 25:5</w:t>
            </w:r>
          </w:p>
        </w:tc>
        <w:tc>
          <w:tcPr>
            <w:tcW w:type="dxa" w:w="3561"/>
            <w:vAlign w:val="top"/>
          </w:tcPr>
          <w:p>
            <w:pPr>
              <w:spacing w:after="0" w:line="223" w:lineRule="auto"/>
            </w:pPr>
            <w:r>
              <w:rPr>
                <w:rFonts w:ascii="Times New Roman" w:hAnsi="Times New Roman"/>
                <w:sz w:val="13"/>
              </w:rPr>
              <w:t>ben</w:t>
            </w:r>
          </w:p>
        </w:tc>
        <w:tc>
          <w:tcPr>
            <w:tcW w:type="dxa" w:w="3561"/>
            <w:vAlign w:val="top"/>
          </w:tcPr>
          <w:p>
            <w:pPr>
              <w:spacing w:after="0" w:line="223" w:lineRule="auto"/>
            </w:pPr>
            <w:r>
              <w:rPr>
                <w:rFonts w:ascii="Times New Roman" w:hAnsi="Times New Roman"/>
                <w:sz w:val="13"/>
              </w:rPr>
              <w:t>Normally son; childless-line issue debated in wider legal context.</w:t>
            </w:r>
          </w:p>
        </w:tc>
      </w:tr>
      <w:tr>
        <w:tc>
          <w:tcPr>
            <w:tcW w:type="dxa" w:w="3561"/>
            <w:vAlign w:val="top"/>
          </w:tcPr>
          <w:p>
            <w:pPr>
              <w:spacing w:after="0" w:line="223" w:lineRule="auto"/>
            </w:pPr>
            <w:r>
              <w:rPr>
                <w:rFonts w:ascii="Times New Roman" w:hAnsi="Times New Roman"/>
                <w:sz w:val="13"/>
              </w:rPr>
              <w:t>Deut. 25:6</w:t>
            </w:r>
          </w:p>
        </w:tc>
        <w:tc>
          <w:tcPr>
            <w:tcW w:type="dxa" w:w="3561"/>
            <w:vAlign w:val="top"/>
          </w:tcPr>
          <w:p>
            <w:pPr>
              <w:spacing w:after="0" w:line="223" w:lineRule="auto"/>
            </w:pPr>
            <w:r>
              <w:rPr>
                <w:rFonts w:ascii="Times New Roman" w:hAnsi="Times New Roman"/>
                <w:sz w:val="13"/>
              </w:rPr>
              <w:t>name of deceased</w:t>
            </w:r>
          </w:p>
        </w:tc>
        <w:tc>
          <w:tcPr>
            <w:tcW w:type="dxa" w:w="3561"/>
            <w:vAlign w:val="top"/>
          </w:tcPr>
          <w:p>
            <w:pPr>
              <w:spacing w:after="0" w:line="223" w:lineRule="auto"/>
            </w:pPr>
            <w:r>
              <w:rPr>
                <w:rFonts w:ascii="Times New Roman" w:hAnsi="Times New Roman"/>
                <w:sz w:val="13"/>
              </w:rPr>
              <w:t>Family line preserved.</w:t>
            </w:r>
          </w:p>
        </w:tc>
      </w:tr>
      <w:tr>
        <w:tc>
          <w:tcPr>
            <w:tcW w:type="dxa" w:w="3561"/>
            <w:vAlign w:val="top"/>
          </w:tcPr>
          <w:p>
            <w:pPr>
              <w:spacing w:after="0" w:line="223" w:lineRule="auto"/>
            </w:pPr>
            <w:r>
              <w:rPr>
                <w:rFonts w:ascii="Times New Roman" w:hAnsi="Times New Roman"/>
                <w:sz w:val="13"/>
              </w:rPr>
              <w:t>Deut. 25:9</w:t>
            </w:r>
          </w:p>
        </w:tc>
        <w:tc>
          <w:tcPr>
            <w:tcW w:type="dxa" w:w="3561"/>
            <w:vAlign w:val="top"/>
          </w:tcPr>
          <w:p>
            <w:pPr>
              <w:spacing w:after="0" w:line="223" w:lineRule="auto"/>
            </w:pPr>
            <w:r>
              <w:rPr>
                <w:rFonts w:ascii="Times New Roman" w:hAnsi="Times New Roman"/>
                <w:sz w:val="13"/>
              </w:rPr>
              <w:t>bepanaw</w:t>
            </w:r>
          </w:p>
        </w:tc>
        <w:tc>
          <w:tcPr>
            <w:tcW w:type="dxa" w:w="3561"/>
            <w:vAlign w:val="top"/>
          </w:tcPr>
          <w:p>
            <w:pPr>
              <w:spacing w:after="0" w:line="223" w:lineRule="auto"/>
            </w:pPr>
            <w:r>
              <w:rPr>
                <w:rFonts w:ascii="Times New Roman" w:hAnsi="Times New Roman"/>
                <w:sz w:val="13"/>
              </w:rPr>
              <w:t>In/before his face; precise spitting action debated.</w:t>
            </w:r>
          </w:p>
        </w:tc>
      </w:tr>
      <w:tr>
        <w:tc>
          <w:tcPr>
            <w:tcW w:type="dxa" w:w="3561"/>
            <w:vAlign w:val="top"/>
          </w:tcPr>
          <w:p>
            <w:pPr>
              <w:spacing w:after="0" w:line="223" w:lineRule="auto"/>
            </w:pPr>
            <w:r>
              <w:rPr>
                <w:rFonts w:ascii="Times New Roman" w:hAnsi="Times New Roman"/>
                <w:sz w:val="13"/>
              </w:rPr>
              <w:t>Ruth 4:7–8</w:t>
            </w:r>
          </w:p>
        </w:tc>
        <w:tc>
          <w:tcPr>
            <w:tcW w:type="dxa" w:w="3561"/>
            <w:vAlign w:val="top"/>
          </w:tcPr>
          <w:p>
            <w:pPr>
              <w:spacing w:after="0" w:line="223" w:lineRule="auto"/>
            </w:pPr>
            <w:r>
              <w:rPr>
                <w:rFonts w:ascii="Times New Roman" w:hAnsi="Times New Roman"/>
                <w:sz w:val="13"/>
              </w:rPr>
              <w:t>sandal transfer</w:t>
            </w:r>
          </w:p>
        </w:tc>
        <w:tc>
          <w:tcPr>
            <w:tcW w:type="dxa" w:w="3561"/>
            <w:vAlign w:val="top"/>
          </w:tcPr>
          <w:p>
            <w:pPr>
              <w:spacing w:after="0" w:line="223" w:lineRule="auto"/>
            </w:pPr>
            <w:r>
              <w:rPr>
                <w:rFonts w:ascii="Times New Roman" w:hAnsi="Times New Roman"/>
                <w:sz w:val="13"/>
              </w:rPr>
              <w:t>Related redemption custom, not identical humiliation rite.</w:t>
            </w:r>
          </w:p>
        </w:tc>
      </w:tr>
      <w:tr>
        <w:tc>
          <w:tcPr>
            <w:tcW w:type="dxa" w:w="3561"/>
            <w:vAlign w:val="top"/>
          </w:tcPr>
          <w:p>
            <w:pPr>
              <w:spacing w:after="0" w:line="223" w:lineRule="auto"/>
            </w:pPr>
            <w:r>
              <w:rPr>
                <w:rFonts w:ascii="Times New Roman" w:hAnsi="Times New Roman"/>
                <w:sz w:val="13"/>
              </w:rPr>
              <w:t>Deut. 25:11–12</w:t>
            </w:r>
          </w:p>
        </w:tc>
        <w:tc>
          <w:tcPr>
            <w:tcW w:type="dxa" w:w="3561"/>
            <w:vAlign w:val="top"/>
          </w:tcPr>
          <w:p>
            <w:pPr>
              <w:spacing w:after="0" w:line="223" w:lineRule="auto"/>
            </w:pPr>
            <w:r>
              <w:rPr>
                <w:rFonts w:ascii="Times New Roman" w:hAnsi="Times New Roman"/>
                <w:sz w:val="13"/>
              </w:rPr>
              <w:t>qatsats kappah</w:t>
            </w:r>
          </w:p>
        </w:tc>
        <w:tc>
          <w:tcPr>
            <w:tcW w:type="dxa" w:w="3561"/>
            <w:vAlign w:val="top"/>
          </w:tcPr>
          <w:p>
            <w:pPr>
              <w:spacing w:after="0" w:line="223" w:lineRule="auto"/>
            </w:pPr>
            <w:r>
              <w:rPr>
                <w:rFonts w:ascii="Times New Roman" w:hAnsi="Times New Roman"/>
                <w:sz w:val="13"/>
              </w:rPr>
              <w:t>Cut off hand/palm; literal reading strongest.</w:t>
            </w:r>
          </w:p>
        </w:tc>
      </w:tr>
      <w:tr>
        <w:tc>
          <w:tcPr>
            <w:tcW w:type="dxa" w:w="3561"/>
            <w:vAlign w:val="top"/>
          </w:tcPr>
          <w:p>
            <w:pPr>
              <w:spacing w:after="0" w:line="223" w:lineRule="auto"/>
            </w:pPr>
            <w:r>
              <w:rPr>
                <w:rFonts w:ascii="Times New Roman" w:hAnsi="Times New Roman"/>
                <w:sz w:val="13"/>
              </w:rPr>
              <w:t>Deut. 25:13–15</w:t>
            </w:r>
          </w:p>
        </w:tc>
        <w:tc>
          <w:tcPr>
            <w:tcW w:type="dxa" w:w="3561"/>
            <w:vAlign w:val="top"/>
          </w:tcPr>
          <w:p>
            <w:pPr>
              <w:spacing w:after="0" w:line="223" w:lineRule="auto"/>
            </w:pPr>
            <w:r>
              <w:rPr>
                <w:rFonts w:ascii="Times New Roman" w:hAnsi="Times New Roman"/>
                <w:sz w:val="13"/>
              </w:rPr>
              <w:t>weights/measures</w:t>
            </w:r>
          </w:p>
        </w:tc>
        <w:tc>
          <w:tcPr>
            <w:tcW w:type="dxa" w:w="3561"/>
            <w:vAlign w:val="top"/>
          </w:tcPr>
          <w:p>
            <w:pPr>
              <w:spacing w:after="0" w:line="223" w:lineRule="auto"/>
            </w:pPr>
            <w:r>
              <w:rPr>
                <w:rFonts w:ascii="Times New Roman" w:hAnsi="Times New Roman"/>
                <w:sz w:val="13"/>
              </w:rPr>
              <w:t>No dual standards; full and just.</w:t>
            </w:r>
          </w:p>
        </w:tc>
      </w:tr>
      <w:tr>
        <w:tc>
          <w:tcPr>
            <w:tcW w:type="dxa" w:w="3561"/>
            <w:vAlign w:val="top"/>
          </w:tcPr>
          <w:p>
            <w:pPr>
              <w:spacing w:after="0" w:line="223" w:lineRule="auto"/>
            </w:pPr>
            <w:r>
              <w:rPr>
                <w:rFonts w:ascii="Times New Roman" w:hAnsi="Times New Roman"/>
                <w:sz w:val="13"/>
              </w:rPr>
              <w:t>Deut. 25:18</w:t>
            </w:r>
          </w:p>
        </w:tc>
        <w:tc>
          <w:tcPr>
            <w:tcW w:type="dxa" w:w="3561"/>
            <w:vAlign w:val="top"/>
          </w:tcPr>
          <w:p>
            <w:pPr>
              <w:spacing w:after="0" w:line="223" w:lineRule="auto"/>
            </w:pPr>
            <w:r>
              <w:rPr>
                <w:rFonts w:ascii="Times New Roman" w:hAnsi="Times New Roman"/>
                <w:sz w:val="13"/>
              </w:rPr>
              <w:t>hannecheshalim</w:t>
            </w:r>
          </w:p>
        </w:tc>
        <w:tc>
          <w:tcPr>
            <w:tcW w:type="dxa" w:w="3561"/>
            <w:vAlign w:val="top"/>
          </w:tcPr>
          <w:p>
            <w:pPr>
              <w:spacing w:after="0" w:line="223" w:lineRule="auto"/>
            </w:pPr>
            <w:r>
              <w:rPr>
                <w:rFonts w:ascii="Times New Roman" w:hAnsi="Times New Roman"/>
                <w:sz w:val="13"/>
              </w:rPr>
              <w:t>Stragglers/lagging weak.</w:t>
            </w:r>
          </w:p>
        </w:tc>
      </w:tr>
      <w:tr>
        <w:tc>
          <w:tcPr>
            <w:tcW w:type="dxa" w:w="3561"/>
            <w:vAlign w:val="top"/>
          </w:tcPr>
          <w:p>
            <w:pPr>
              <w:spacing w:after="0" w:line="223" w:lineRule="auto"/>
            </w:pPr>
            <w:r>
              <w:rPr>
                <w:rFonts w:ascii="Times New Roman" w:hAnsi="Times New Roman"/>
                <w:sz w:val="13"/>
              </w:rPr>
              <w:t>Deut. 25:18</w:t>
            </w:r>
          </w:p>
        </w:tc>
        <w:tc>
          <w:tcPr>
            <w:tcW w:type="dxa" w:w="3561"/>
            <w:vAlign w:val="top"/>
          </w:tcPr>
          <w:p>
            <w:pPr>
              <w:spacing w:after="0" w:line="223" w:lineRule="auto"/>
            </w:pPr>
            <w:r>
              <w:rPr>
                <w:rFonts w:ascii="Times New Roman" w:hAnsi="Times New Roman"/>
                <w:sz w:val="13"/>
              </w:rPr>
              <w:t>feared not God</w:t>
            </w:r>
          </w:p>
        </w:tc>
        <w:tc>
          <w:tcPr>
            <w:tcW w:type="dxa" w:w="3561"/>
            <w:vAlign w:val="top"/>
          </w:tcPr>
          <w:p>
            <w:pPr>
              <w:spacing w:after="0" w:line="223" w:lineRule="auto"/>
            </w:pPr>
            <w:r>
              <w:rPr>
                <w:rFonts w:ascii="Times New Roman" w:hAnsi="Times New Roman"/>
                <w:sz w:val="13"/>
              </w:rPr>
              <w:t>Explicit moral diagnosis of Amalek.</w:t>
            </w:r>
          </w:p>
        </w:tc>
      </w:tr>
      <w:tr>
        <w:tc>
          <w:tcPr>
            <w:tcW w:type="dxa" w:w="3561"/>
            <w:vAlign w:val="top"/>
          </w:tcPr>
          <w:p>
            <w:pPr>
              <w:spacing w:after="0" w:line="223" w:lineRule="auto"/>
            </w:pPr>
            <w:r>
              <w:rPr>
                <w:rFonts w:ascii="Times New Roman" w:hAnsi="Times New Roman"/>
                <w:sz w:val="13"/>
              </w:rPr>
              <w:t>Deut. 25:19</w:t>
            </w:r>
          </w:p>
        </w:tc>
        <w:tc>
          <w:tcPr>
            <w:tcW w:type="dxa" w:w="3561"/>
            <w:vAlign w:val="top"/>
          </w:tcPr>
          <w:p>
            <w:pPr>
              <w:spacing w:after="0" w:line="223" w:lineRule="auto"/>
            </w:pPr>
            <w:r>
              <w:rPr>
                <w:rFonts w:ascii="Times New Roman" w:hAnsi="Times New Roman"/>
                <w:sz w:val="13"/>
              </w:rPr>
              <w:t>blot out / do not forget</w:t>
            </w:r>
          </w:p>
        </w:tc>
        <w:tc>
          <w:tcPr>
            <w:tcW w:type="dxa" w:w="3561"/>
            <w:vAlign w:val="top"/>
          </w:tcPr>
          <w:p>
            <w:pPr>
              <w:spacing w:after="0" w:line="223" w:lineRule="auto"/>
            </w:pPr>
            <w:r>
              <w:rPr>
                <w:rFonts w:ascii="Times New Roman" w:hAnsi="Times New Roman"/>
                <w:sz w:val="13"/>
              </w:rPr>
              <w:t>Remember duty until judgment completed.</w:t>
            </w:r>
          </w:p>
        </w:tc>
      </w:tr>
    </w:tbl>
    <w:p>
      <w:pPr>
        <w:pStyle w:val="Heading1"/>
      </w:pPr>
      <w:r>
        <w:t>RESIDUAL UNCERTAINTIES</w:t>
      </w:r>
    </w:p>
    <w:p>
      <w:pPr/>
      <w:r>
        <w:rPr>
          <w:i w:val="0"/>
        </w:rPr>
        <w:t>The precise scope of `ben` in the levirate law, the location of the spitting action and proposals for a non-literal interpretation of the hand-cutting penalty remain debated. The document distinguishes Ruth’s redemption custom from the exact Deuteronomic levirate-shame rite and keeps Mansfield’s Amalek typology separate from the historical command.</w:t>
      </w:r>
    </w:p>
    <w:sectPr w:rsidR="00FC693F" w:rsidRPr="0006063C" w:rsidSect="00034616">
      <w:headerReference w:type="default" r:id="rId9"/>
      <w:footerReference w:type="default" r:id="rId10"/>
      <w:pgSz w:w="12240" w:h="15840"/>
      <w:pgMar w:top="749" w:right="778" w:bottom="749" w:left="778"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DEUTERONOMY 25</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8" w:line="240" w:lineRule="auto"/>
    </w:pPr>
    <w:rPr>
      <w:rFonts w:ascii="Times New Roman" w:hAnsi="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54" w:after="11"/>
      <w:outlineLvl w:val="0"/>
    </w:pPr>
    <w:rPr>
      <w:rFonts w:asciiTheme="majorHAnsi" w:eastAsiaTheme="majorEastAsia" w:hAnsiTheme="majorHAnsi" w:cstheme="majorBidi" w:ascii="Arial" w:hAnsi="Arial"/>
      <w:b/>
      <w:bCs/>
      <w:color w:val="2761A1"/>
      <w:sz w:val="23"/>
      <w:szCs w:val="28"/>
    </w:rPr>
  </w:style>
  <w:style w:type="paragraph" w:styleId="Heading2">
    <w:name w:val="heading 2"/>
    <w:basedOn w:val="Normal"/>
    <w:next w:val="Normal"/>
    <w:link w:val="Heading2Char"/>
    <w:uiPriority w:val="9"/>
    <w:unhideWhenUsed/>
    <w:qFormat/>
    <w:rsid w:val="00FC693F"/>
    <w:pPr>
      <w:keepNext/>
      <w:keepLines/>
      <w:spacing w:before="29" w:after="11"/>
      <w:outlineLvl w:val="1"/>
    </w:pPr>
    <w:rPr>
      <w:rFonts w:asciiTheme="majorHAnsi" w:eastAsiaTheme="majorEastAsia" w:hAnsiTheme="majorHAnsi" w:cstheme="majorBidi" w:ascii="Arial" w:hAnsi="Arial"/>
      <w:b/>
      <w:bCs/>
      <w:color w:val="2761A1"/>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