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27</w:t>
      </w:r>
    </w:p>
    <w:p>
      <w:pPr>
        <w:pStyle w:val="Subtitle"/>
      </w:pPr>
      <w:r>
        <w:t>THE LAW WRITTEN PUBLICLY • EBAL AND THE SAMARITAN GERIZIM VARIANT • ALTAR OF WHOLE STONES • VERY PLAINLY • COVENANT IDENTITY RENEWED • GERIZIM AND EBAL • TWELVE CURSES • ALL THE PEOPLE SAY AMEN</w:t>
      </w:r>
    </w:p>
    <w:p>
      <w:pPr/>
      <w:r>
        <w:rPr>
          <w:i/>
        </w:rPr>
        <w:t>H. P. Mansfield Bible notes — checked and arranged in verse-by-verse Expositor style</w:t>
      </w:r>
    </w:p>
    <w:p>
      <w:pPr/>
      <w:r>
        <w:rPr>
          <w:i w:val="0"/>
        </w:rPr>
        <w:t>Source: HPB 04-Deu01-Jud04.PDF pp. 41–42; cross-checked with Mansfield’s Deuteronomy Expositor Chapter 27 and Joshua 8.</w:t>
      </w:r>
    </w:p>
    <w:p>
      <w:pPr>
        <w:pStyle w:val="Heading1"/>
      </w:pPr>
      <w:r>
        <w:t>CHAPTER OVERVIEW</w:t>
      </w:r>
    </w:p>
    <w:p>
      <w:pPr/>
      <w:r>
        <w:rPr>
          <w:i w:val="0"/>
        </w:rPr>
        <w:t>After crossing Jordan, Israel is to turn covenant law into public landscape: plastered stones carry the law, an altar receives sacrifice, and the tribes assemble in the Shechem region to acknowledge blessing and curse.</w:t>
      </w:r>
    </w:p>
    <w:p>
      <w:pPr/>
      <w:r>
        <w:rPr>
          <w:i w:val="0"/>
        </w:rPr>
        <w:t>The chapter makes covenant responsibility intelligible and personal. Twelve representative curses are spoken aloud and all the people answer Amen.</w:t>
      </w:r>
    </w:p>
    <w:p>
      <w:pPr>
        <w:pStyle w:val="Heading1"/>
      </w:pPr>
      <w:r>
        <w:t>THE LAW ON PLASTERED STONES — DEUTERONOMY 27:1–4</w:t>
      </w:r>
    </w:p>
    <w:p>
      <w:pPr>
        <w:pStyle w:val="Heading2"/>
      </w:pPr>
      <w:r>
        <w:t>Deuteronomy 27:1–3 — great stones and clear writing</w:t>
      </w:r>
    </w:p>
    <w:p>
      <w:pPr/>
      <w:r>
        <w:rPr>
          <w:i w:val="0"/>
        </w:rPr>
        <w:t>Moses and Israel’s elders command obedience. After crossing Jordan, Israel is to erect great stones, plaster them and write “all the words of this law” upon them.</w:t>
      </w:r>
    </w:p>
    <w:p>
      <w:pPr/>
      <w:r>
        <w:rPr>
          <w:i w:val="0"/>
        </w:rPr>
        <w:t>The exact extent of “this law”—the whole of Deuteronomy, its central legal code, or another defined corpus—is debated. Mansfield’s assertion that the whole book certainly fit on the stones is plausible but not demonstrable from the phrase.</w:t>
      </w:r>
    </w:p>
    <w:p>
      <w:pPr>
        <w:pStyle w:val="Heading2"/>
      </w:pPr>
      <w:r>
        <w:t>Deuteronomy 27:2 — “on the day”</w:t>
      </w:r>
    </w:p>
    <w:p>
      <w:pPr/>
      <w:r>
        <w:rPr>
          <w:i w:val="0"/>
        </w:rPr>
        <w:t>The ceremony is linked closely with Israel’s crossing. Joshua 8 records fulfilment after the conquest of Ai rather than literally on the first calendar day after crossing.</w:t>
      </w:r>
    </w:p>
    <w:p>
      <w:pPr/>
      <w:r>
        <w:rPr>
          <w:i w:val="0"/>
        </w:rPr>
        <w:t>Hebrew `bayyom` can mark the occasion/time when something occurs and need not require Mansfield’s strict same-day chronology.</w:t>
      </w:r>
    </w:p>
    <w:p>
      <w:pPr>
        <w:pStyle w:val="Heading2"/>
      </w:pPr>
      <w:r>
        <w:t>Deuteronomy 27:4 — Ebal in MT/KJV; Gerizim in Samaritan Pentateuch</w:t>
      </w:r>
    </w:p>
    <w:p>
      <w:pPr/>
      <w:r>
        <w:rPr>
          <w:i w:val="0"/>
        </w:rPr>
        <w:t>The Masoretic Text, Septuagint tradition represented in most manuscripts, and KJV read Mount Ebal. The Samaritan Pentateuch famously reads Mount Gerizim, the Samaritan holy mountain.</w:t>
      </w:r>
    </w:p>
    <w:p>
      <w:pPr/>
      <w:r>
        <w:rPr>
          <w:i w:val="0"/>
        </w:rPr>
        <w:t>This is a major ancient textual variant. The HPB Expositor follows Ebal, and the present document retains the KJV/MT reading while explicitly recording the Samaritan variant rather than pretending no textual question exists.</w:t>
      </w:r>
    </w:p>
    <w:p>
      <w:pPr>
        <w:pStyle w:val="Heading1"/>
      </w:pPr>
      <w:r>
        <w:t>ALTAR OF WHOLE STONES — DEUTERONOMY 27:5–8</w:t>
      </w:r>
    </w:p>
    <w:p>
      <w:pPr>
        <w:pStyle w:val="Heading2"/>
      </w:pPr>
      <w:r>
        <w:t>Deuteronomy 27:5–6 — no iron tool</w:t>
      </w:r>
    </w:p>
    <w:p>
      <w:pPr/>
      <w:r>
        <w:rPr>
          <w:i w:val="0"/>
        </w:rPr>
        <w:t>An altar to Yahweh is built of whole/unhewn stones; no iron tool is lifted upon them.</w:t>
      </w:r>
    </w:p>
    <w:p>
      <w:pPr/>
      <w:r>
        <w:rPr>
          <w:i w:val="0"/>
        </w:rPr>
        <w:t>Exodus 20:25 gives the same principle. Mansfield’s application that human shaping must not replace Divine provision is sound typology, though the legal reason is simply Yahweh’s specified altar form.</w:t>
      </w:r>
    </w:p>
    <w:p>
      <w:pPr>
        <w:pStyle w:val="Heading2"/>
      </w:pPr>
      <w:r>
        <w:t>Deuteronomy 27:6–7 — burnt and peace offerings</w:t>
      </w:r>
    </w:p>
    <w:p>
      <w:pPr/>
      <w:r>
        <w:rPr>
          <w:i w:val="0"/>
        </w:rPr>
        <w:t>Israel offers burnt offerings and peace offerings, eats and rejoices before Yahweh.</w:t>
      </w:r>
    </w:p>
    <w:p>
      <w:pPr/>
      <w:r>
        <w:rPr>
          <w:i w:val="0"/>
        </w:rPr>
        <w:t>Judgment and covenant sanction are introduced within worship and fellowship, not as bare legal terror.</w:t>
      </w:r>
    </w:p>
    <w:p>
      <w:pPr>
        <w:pStyle w:val="Heading2"/>
      </w:pPr>
      <w:r>
        <w:t>Deuteronomy 27:8 — `ba’er hetev`</w:t>
      </w:r>
    </w:p>
    <w:p>
      <w:pPr/>
      <w:r>
        <w:rPr>
          <w:i w:val="0"/>
        </w:rPr>
        <w:t>The law is to be written “very plainly”—made clear/well explained.</w:t>
      </w:r>
    </w:p>
    <w:p>
      <w:pPr/>
      <w:r>
        <w:rPr>
          <w:i w:val="0"/>
        </w:rPr>
        <w:t>The public witness must be intelligible, not esoteric.</w:t>
      </w:r>
    </w:p>
    <w:p>
      <w:pPr>
        <w:pStyle w:val="Heading1"/>
      </w:pPr>
      <w:r>
        <w:t>“THIS DAY THOU ART BECOME THE PEOPLE” — DEUTERONOMY 27:9–10</w:t>
      </w:r>
    </w:p>
    <w:p>
      <w:pPr>
        <w:pStyle w:val="Heading2"/>
      </w:pPr>
      <w:r>
        <w:t>Deuteronomy 27:9 — covenant renewal language</w:t>
      </w:r>
    </w:p>
    <w:p>
      <w:pPr/>
      <w:r>
        <w:rPr>
          <w:i w:val="0"/>
        </w:rPr>
        <w:t>Moses and the Levitical priests call Israel to silence and hearing: “This day thou art become the people of Yahweh thy God.”</w:t>
      </w:r>
    </w:p>
    <w:p>
      <w:pPr/>
      <w:r>
        <w:rPr>
          <w:i w:val="0"/>
        </w:rPr>
        <w:t>Israel had long been Yahweh’s covenant people. The statement marks present covenant reaffirmation/identity of the new generation, not literal first creation of the nation that day.</w:t>
      </w:r>
    </w:p>
    <w:p>
      <w:pPr>
        <w:pStyle w:val="Heading2"/>
      </w:pPr>
      <w:r>
        <w:t>Deuteronomy 27:10 — identity requires obedience</w:t>
      </w:r>
    </w:p>
    <w:p>
      <w:pPr/>
      <w:r>
        <w:rPr>
          <w:i w:val="0"/>
        </w:rPr>
        <w:t>Therefore Israel must obey Yahweh’s voice and do His commandments and statutes.</w:t>
      </w:r>
    </w:p>
    <w:p>
      <w:pPr>
        <w:pStyle w:val="Heading1"/>
      </w:pPr>
      <w:r>
        <w:t>GERIZIM AND EBAL — DEUTERONOMY 27:11–13</w:t>
      </w:r>
    </w:p>
    <w:p>
      <w:pPr>
        <w:pStyle w:val="Heading2"/>
      </w:pPr>
      <w:r>
        <w:t>Deuteronomy 27:12 — six for blessing</w:t>
      </w:r>
    </w:p>
    <w:p>
      <w:pPr/>
      <w:r>
        <w:rPr>
          <w:i w:val="0"/>
        </w:rPr>
        <w:t>Simeon, Levi, Judah, Issachar, Joseph and Benjamin stand by/upon Gerizim for blessing.</w:t>
      </w:r>
    </w:p>
    <w:p>
      <w:pPr>
        <w:pStyle w:val="Heading2"/>
      </w:pPr>
      <w:r>
        <w:t>Deuteronomy 27:13 — six for curse</w:t>
      </w:r>
    </w:p>
    <w:p>
      <w:pPr/>
      <w:r>
        <w:rPr>
          <w:i w:val="0"/>
        </w:rPr>
        <w:t>Reuben, Gad, Asher, Zebulun, Dan and Naphtali stand by/upon Ebal for the curse.</w:t>
      </w:r>
    </w:p>
    <w:p>
      <w:pPr>
        <w:pStyle w:val="Heading2"/>
      </w:pPr>
      <w:r>
        <w:t>Tribal name-sentences</w:t>
      </w:r>
    </w:p>
    <w:p>
      <w:pPr/>
      <w:r>
        <w:rPr>
          <w:i w:val="0"/>
        </w:rPr>
        <w:t>Mansfield combines meanings of the twelve tribal names into devotional sentences.</w:t>
      </w:r>
    </w:p>
    <w:p>
      <w:pPr/>
      <w:r>
        <w:rPr>
          <w:i w:val="0"/>
        </w:rPr>
        <w:t>Such name chains are secondary typology. Hebrew personal-name etymologies are sometimes transparent and sometimes debated; Scripture does not say the two tribal lists encode hidden sentences.</w:t>
      </w:r>
    </w:p>
    <w:p>
      <w:pPr>
        <w:pStyle w:val="Heading1"/>
      </w:pPr>
      <w:r>
        <w:t>THE LEVITES AND TWELVE CURSES — DEUTERONOMY 27:14–26</w:t>
      </w:r>
    </w:p>
    <w:p>
      <w:pPr>
        <w:pStyle w:val="Heading2"/>
      </w:pPr>
      <w:r>
        <w:t>Deuteronomy 27:14 — Levites speak with a loud voice</w:t>
      </w:r>
    </w:p>
    <w:p>
      <w:pPr/>
      <w:r>
        <w:rPr>
          <w:i w:val="0"/>
        </w:rPr>
        <w:t>The Levites proclaim the curses to all Israel.</w:t>
      </w:r>
    </w:p>
    <w:p>
      <w:pPr/>
      <w:r>
        <w:rPr>
          <w:i w:val="0"/>
        </w:rPr>
        <w:t>Levi is also listed among the tribes associated with Gerizim in verse 12. This is not necessarily contradiction: officiating Levites/priests can perform the proclamation while the tribal representatives occupy their assigned position.</w:t>
      </w:r>
    </w:p>
    <w:p>
      <w:pPr>
        <w:pStyle w:val="Heading2"/>
      </w:pPr>
      <w:r>
        <w:t>Deuteronomy 27:15 — secret idolatry</w:t>
      </w:r>
    </w:p>
    <w:p>
      <w:pPr/>
      <w:r>
        <w:rPr>
          <w:i w:val="0"/>
        </w:rPr>
        <w:t>Cursed is the person who makes and secretly sets up a carved or molten image.</w:t>
      </w:r>
    </w:p>
    <w:p>
      <w:pPr>
        <w:pStyle w:val="Heading2"/>
      </w:pPr>
      <w:r>
        <w:t>Deuteronomy 27:16–19 — family, boundary, disability and vulnerable justice</w:t>
      </w:r>
    </w:p>
    <w:p>
      <w:pPr/>
      <w:r>
        <w:rPr>
          <w:i w:val="0"/>
        </w:rPr>
        <w:t>The curses condemn dishonouring father or mother, moving a landmark, misleading a blind person, and perverting justice for resident stranger, fatherless or widow.</w:t>
      </w:r>
    </w:p>
    <w:p>
      <w:pPr>
        <w:pStyle w:val="Heading2"/>
      </w:pPr>
      <w:r>
        <w:t>Deuteronomy 27:20–23 — sexual boundaries</w:t>
      </w:r>
    </w:p>
    <w:p>
      <w:pPr/>
      <w:r>
        <w:rPr>
          <w:i w:val="0"/>
        </w:rPr>
        <w:t>The curses cover sexual violations involving father’s wife, an animal, sister and mother-in-law.</w:t>
      </w:r>
    </w:p>
    <w:p>
      <w:pPr>
        <w:pStyle w:val="Heading2"/>
      </w:pPr>
      <w:r>
        <w:t>Deuteronomy 27:24–25 — secret violence and paid killing</w:t>
      </w:r>
    </w:p>
    <w:p>
      <w:pPr/>
      <w:r>
        <w:rPr>
          <w:i w:val="0"/>
        </w:rPr>
        <w:t>Secretly striking/killing a neighbour and taking a bribe to shed innocent blood are cursed.</w:t>
      </w:r>
    </w:p>
    <w:p>
      <w:pPr>
        <w:pStyle w:val="Heading2"/>
      </w:pPr>
      <w:r>
        <w:t>Deuteronomy 27:26 — uphold the words of this law by doing</w:t>
      </w:r>
    </w:p>
    <w:p>
      <w:pPr/>
      <w:r>
        <w:rPr>
          <w:i w:val="0"/>
        </w:rPr>
        <w:t>The final curse falls on the person who does not `yaqim`, uphold/establish/confirm, the words of the law to do them.</w:t>
      </w:r>
    </w:p>
    <w:p>
      <w:pPr/>
      <w:r>
        <w:t>The standard Masoretic Hebrew does not contain an explicit `kol`, “all,” in this verse. It reads in substance, “Cursed be he that confirmeth not the words of this law to do them.” Galatians 3:10 quotes the fuller Septuagint form, “all things which are written in the book of the law.” Paul’s apostolic argument rightly stresses the Law’s comprehensive demand, but the difference between the Hebrew and Greek wording should be stated rather than claiming that printed Hebrew Bibles suppress the word “all.”</w:t>
      </w:r>
    </w:p>
    <w:p>
      <w:pPr>
        <w:pStyle w:val="Heading2"/>
      </w:pPr>
      <w:r>
        <w:t>All the people say Amen</w:t>
      </w:r>
    </w:p>
    <w:p>
      <w:pPr/>
      <w:r>
        <w:rPr>
          <w:i w:val="0"/>
        </w:rPr>
        <w:t>After each curse all Israel says `amen`, affirming/accepting the justice of the pronounced covenant sanction.</w:t>
      </w:r>
    </w:p>
    <w:p>
      <w:pPr/>
      <w:r>
        <w:rPr>
          <w:i w:val="0"/>
        </w:rPr>
        <w:t>The repeated Amen makes the sanctions personally acknowledged.</w:t>
      </w:r>
    </w:p>
    <w:p>
      <w:pPr>
        <w:pStyle w:val="Heading1"/>
      </w:pPr>
      <w:r>
        <w:t>GALATIANS 3:10 — APOSTOLIC USE</w:t>
      </w:r>
    </w:p>
    <w:p>
      <w:pPr>
        <w:pStyle w:val="Heading2"/>
      </w:pPr>
      <w:r>
        <w:t>Galatians 3:10 — the Law’s comprehensive demand</w:t>
      </w:r>
    </w:p>
    <w:p>
      <w:pPr/>
      <w:r>
        <w:rPr>
          <w:i w:val="0"/>
        </w:rPr>
        <w:t>Paul explicitly quotes the curse principle from Deuteronomy 27:26 to demonstrate the liability of relying upon works of law while failing its comprehensive demand.</w:t>
      </w:r>
    </w:p>
    <w:p>
      <w:pPr/>
      <w:r>
        <w:rPr>
          <w:i w:val="0"/>
        </w:rPr>
        <w:t>His quotation follows the Greek/LXX wording. This is direct New Testament interpretation, not merely Mansfield typology.</w:t>
      </w:r>
    </w:p>
    <w:p>
      <w:pPr>
        <w:pStyle w:val="Heading1"/>
      </w:pPr>
      <w:r>
        <w:t>PRINCIPAL THEMES</w:t>
      </w:r>
    </w:p>
    <w:p>
      <w:pPr>
        <w:ind w:left="259" w:hanging="202"/>
      </w:pPr>
      <w:r>
        <w:rPr>
          <w:b/>
        </w:rPr>
        <w:t xml:space="preserve">• </w:t>
      </w:r>
      <w:r>
        <w:t>The exact amount of law written on the stones is uncertain.</w:t>
      </w:r>
    </w:p>
    <w:p>
      <w:pPr>
        <w:ind w:left="259" w:hanging="202"/>
      </w:pPr>
      <w:r>
        <w:rPr>
          <w:b/>
        </w:rPr>
        <w:t xml:space="preserve">• </w:t>
      </w:r>
      <w:r>
        <w:t>`Bayyom` need not require the full ceremony on the literal first day after Jordan.</w:t>
      </w:r>
    </w:p>
    <w:p>
      <w:pPr>
        <w:ind w:left="259" w:hanging="202"/>
      </w:pPr>
      <w:r>
        <w:rPr>
          <w:b/>
        </w:rPr>
        <w:t xml:space="preserve">• </w:t>
      </w:r>
      <w:r>
        <w:t>Mount Ebal is the MT/KJV reading; the Samaritan Pentateuch has Mount Gerizim.</w:t>
      </w:r>
    </w:p>
    <w:p>
      <w:pPr>
        <w:ind w:left="259" w:hanging="202"/>
      </w:pPr>
      <w:r>
        <w:rPr>
          <w:b/>
        </w:rPr>
        <w:t xml:space="preserve">• </w:t>
      </w:r>
      <w:r>
        <w:t>Whole unhewn stones emphasise obedience to Yahweh’s altar specification.</w:t>
      </w:r>
    </w:p>
    <w:p>
      <w:pPr>
        <w:ind w:left="259" w:hanging="202"/>
      </w:pPr>
      <w:r>
        <w:rPr>
          <w:b/>
        </w:rPr>
        <w:t xml:space="preserve">• </w:t>
      </w:r>
      <w:r>
        <w:t>“This day” is covenant renewal/affirmation, not Israel’s first-ever national creation.</w:t>
      </w:r>
    </w:p>
    <w:p>
      <w:pPr>
        <w:ind w:left="259" w:hanging="202"/>
      </w:pPr>
      <w:r>
        <w:rPr>
          <w:b/>
        </w:rPr>
        <w:t xml:space="preserve">• </w:t>
      </w:r>
      <w:r>
        <w:t>Tribal name-sentences are devotional constructions, not encoded revelation.</w:t>
      </w:r>
    </w:p>
    <w:p>
      <w:pPr>
        <w:ind w:left="259" w:hanging="202"/>
      </w:pPr>
      <w:r>
        <w:rPr>
          <w:b/>
        </w:rPr>
        <w:t xml:space="preserve">• </w:t>
      </w:r>
      <w:r>
        <w:t>Levitical proclamation and Levi’s Gerizim assignment can coexist.</w:t>
      </w:r>
    </w:p>
    <w:p>
      <w:pPr>
        <w:ind w:left="259" w:hanging="202"/>
      </w:pPr>
      <w:r>
        <w:rPr>
          <w:b/>
        </w:rPr>
        <w:t xml:space="preserve">• </w:t>
      </w:r>
      <w:r>
        <w:t>The twelve curses cover hidden idolatry, family contempt, injustice, sexual sin and secret violence.</w:t>
      </w:r>
    </w:p>
    <w:p>
      <w:pPr>
        <w:ind w:left="259" w:hanging="202"/>
      </w:pPr>
      <w:r>
        <w:rPr>
          <w:b/>
        </w:rPr>
        <w:t xml:space="preserve">• </w:t>
      </w:r>
      <w:r>
        <w:t>`Amen` is personal affirmation of covenant judgment.</w:t>
      </w:r>
    </w:p>
    <w:p>
      <w:pPr>
        <w:ind w:left="259" w:hanging="202"/>
      </w:pPr>
      <w:r>
        <w:rPr>
          <w:b/>
        </w:rPr>
        <w:t xml:space="preserve">• </w:t>
      </w:r>
      <w:r>
        <w:t>Galatians 3:10 directly uses the final curse in Paul’s argument about the Law.</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27:2–3</w:t>
            </w:r>
          </w:p>
        </w:tc>
        <w:tc>
          <w:tcPr>
            <w:tcW w:type="dxa" w:w="3561"/>
            <w:vAlign w:val="top"/>
          </w:tcPr>
          <w:p>
            <w:pPr>
              <w:spacing w:after="0" w:line="223" w:lineRule="auto"/>
            </w:pPr>
            <w:r>
              <w:rPr>
                <w:rFonts w:ascii="Times New Roman" w:hAnsi="Times New Roman"/>
                <w:sz w:val="13"/>
              </w:rPr>
              <w:t>all words of this law</w:t>
            </w:r>
          </w:p>
        </w:tc>
        <w:tc>
          <w:tcPr>
            <w:tcW w:type="dxa" w:w="3561"/>
            <w:vAlign w:val="top"/>
          </w:tcPr>
          <w:p>
            <w:pPr>
              <w:spacing w:after="0" w:line="223" w:lineRule="auto"/>
            </w:pPr>
            <w:r>
              <w:rPr>
                <w:rFonts w:ascii="Times New Roman" w:hAnsi="Times New Roman"/>
                <w:sz w:val="13"/>
              </w:rPr>
              <w:t>Extent of written corpus debated.</w:t>
            </w:r>
          </w:p>
        </w:tc>
      </w:tr>
      <w:tr>
        <w:tc>
          <w:tcPr>
            <w:tcW w:type="dxa" w:w="3561"/>
            <w:vAlign w:val="top"/>
          </w:tcPr>
          <w:p>
            <w:pPr>
              <w:spacing w:after="0" w:line="223" w:lineRule="auto"/>
            </w:pPr>
            <w:r>
              <w:rPr>
                <w:rFonts w:ascii="Times New Roman" w:hAnsi="Times New Roman"/>
                <w:sz w:val="13"/>
              </w:rPr>
              <w:t>Deut. 27:2</w:t>
            </w:r>
          </w:p>
        </w:tc>
        <w:tc>
          <w:tcPr>
            <w:tcW w:type="dxa" w:w="3561"/>
            <w:vAlign w:val="top"/>
          </w:tcPr>
          <w:p>
            <w:pPr>
              <w:spacing w:after="0" w:line="223" w:lineRule="auto"/>
            </w:pPr>
            <w:r>
              <w:rPr>
                <w:rFonts w:ascii="Times New Roman" w:hAnsi="Times New Roman"/>
                <w:sz w:val="13"/>
              </w:rPr>
              <w:t>bayyom</w:t>
            </w:r>
          </w:p>
        </w:tc>
        <w:tc>
          <w:tcPr>
            <w:tcW w:type="dxa" w:w="3561"/>
            <w:vAlign w:val="top"/>
          </w:tcPr>
          <w:p>
            <w:pPr>
              <w:spacing w:after="0" w:line="223" w:lineRule="auto"/>
            </w:pPr>
            <w:r>
              <w:rPr>
                <w:rFonts w:ascii="Times New Roman" w:hAnsi="Times New Roman"/>
                <w:sz w:val="13"/>
              </w:rPr>
              <w:t>On the day/occasion; strict first-calendar-day reading not required.</w:t>
            </w:r>
          </w:p>
        </w:tc>
      </w:tr>
      <w:tr>
        <w:tc>
          <w:tcPr>
            <w:tcW w:type="dxa" w:w="3561"/>
            <w:vAlign w:val="top"/>
          </w:tcPr>
          <w:p>
            <w:pPr>
              <w:spacing w:after="0" w:line="223" w:lineRule="auto"/>
            </w:pPr>
            <w:r>
              <w:rPr>
                <w:rFonts w:ascii="Times New Roman" w:hAnsi="Times New Roman"/>
                <w:sz w:val="13"/>
              </w:rPr>
              <w:t>Deut. 27:4</w:t>
            </w:r>
          </w:p>
        </w:tc>
        <w:tc>
          <w:tcPr>
            <w:tcW w:type="dxa" w:w="3561"/>
            <w:vAlign w:val="top"/>
          </w:tcPr>
          <w:p>
            <w:pPr>
              <w:spacing w:after="0" w:line="223" w:lineRule="auto"/>
            </w:pPr>
            <w:r>
              <w:rPr>
                <w:rFonts w:ascii="Times New Roman" w:hAnsi="Times New Roman"/>
                <w:sz w:val="13"/>
              </w:rPr>
              <w:t>Mount Ebal</w:t>
            </w:r>
          </w:p>
        </w:tc>
        <w:tc>
          <w:tcPr>
            <w:tcW w:type="dxa" w:w="3561"/>
            <w:vAlign w:val="top"/>
          </w:tcPr>
          <w:p>
            <w:pPr>
              <w:spacing w:after="0" w:line="223" w:lineRule="auto"/>
            </w:pPr>
            <w:r>
              <w:rPr>
                <w:rFonts w:ascii="Times New Roman" w:hAnsi="Times New Roman"/>
                <w:sz w:val="13"/>
              </w:rPr>
              <w:t>MT/KJV reading.</w:t>
            </w:r>
          </w:p>
        </w:tc>
      </w:tr>
      <w:tr>
        <w:tc>
          <w:tcPr>
            <w:tcW w:type="dxa" w:w="3561"/>
            <w:vAlign w:val="top"/>
          </w:tcPr>
          <w:p>
            <w:pPr>
              <w:spacing w:after="0" w:line="223" w:lineRule="auto"/>
            </w:pPr>
            <w:r>
              <w:rPr>
                <w:rFonts w:ascii="Times New Roman" w:hAnsi="Times New Roman"/>
                <w:sz w:val="13"/>
              </w:rPr>
              <w:t>Samaritan Pentateuch Deut. 27:4</w:t>
            </w:r>
          </w:p>
        </w:tc>
        <w:tc>
          <w:tcPr>
            <w:tcW w:type="dxa" w:w="3561"/>
            <w:vAlign w:val="top"/>
          </w:tcPr>
          <w:p>
            <w:pPr>
              <w:spacing w:after="0" w:line="223" w:lineRule="auto"/>
            </w:pPr>
            <w:r>
              <w:rPr>
                <w:rFonts w:ascii="Times New Roman" w:hAnsi="Times New Roman"/>
                <w:sz w:val="13"/>
              </w:rPr>
              <w:t>Mount Gerizim</w:t>
            </w:r>
          </w:p>
        </w:tc>
        <w:tc>
          <w:tcPr>
            <w:tcW w:type="dxa" w:w="3561"/>
            <w:vAlign w:val="top"/>
          </w:tcPr>
          <w:p>
            <w:pPr>
              <w:spacing w:after="0" w:line="223" w:lineRule="auto"/>
            </w:pPr>
            <w:r>
              <w:rPr>
                <w:rFonts w:ascii="Times New Roman" w:hAnsi="Times New Roman"/>
                <w:sz w:val="13"/>
              </w:rPr>
              <w:t>Major ancient textual variant.</w:t>
            </w:r>
          </w:p>
        </w:tc>
      </w:tr>
      <w:tr>
        <w:tc>
          <w:tcPr>
            <w:tcW w:type="dxa" w:w="3561"/>
            <w:vAlign w:val="top"/>
          </w:tcPr>
          <w:p>
            <w:pPr>
              <w:spacing w:after="0" w:line="223" w:lineRule="auto"/>
            </w:pPr>
            <w:r>
              <w:rPr>
                <w:rFonts w:ascii="Times New Roman" w:hAnsi="Times New Roman"/>
                <w:sz w:val="13"/>
              </w:rPr>
              <w:t>Deut. 27:5–6</w:t>
            </w:r>
          </w:p>
        </w:tc>
        <w:tc>
          <w:tcPr>
            <w:tcW w:type="dxa" w:w="3561"/>
            <w:vAlign w:val="top"/>
          </w:tcPr>
          <w:p>
            <w:pPr>
              <w:spacing w:after="0" w:line="223" w:lineRule="auto"/>
            </w:pPr>
            <w:r>
              <w:rPr>
                <w:rFonts w:ascii="Times New Roman" w:hAnsi="Times New Roman"/>
                <w:sz w:val="13"/>
              </w:rPr>
              <w:t>whole/unhewn stones</w:t>
            </w:r>
          </w:p>
        </w:tc>
        <w:tc>
          <w:tcPr>
            <w:tcW w:type="dxa" w:w="3561"/>
            <w:vAlign w:val="top"/>
          </w:tcPr>
          <w:p>
            <w:pPr>
              <w:spacing w:after="0" w:line="223" w:lineRule="auto"/>
            </w:pPr>
            <w:r>
              <w:rPr>
                <w:rFonts w:ascii="Times New Roman" w:hAnsi="Times New Roman"/>
                <w:sz w:val="13"/>
              </w:rPr>
              <w:t>No iron tool; compare Ex. 20:25.</w:t>
            </w:r>
          </w:p>
        </w:tc>
      </w:tr>
      <w:tr>
        <w:tc>
          <w:tcPr>
            <w:tcW w:type="dxa" w:w="3561"/>
            <w:vAlign w:val="top"/>
          </w:tcPr>
          <w:p>
            <w:pPr>
              <w:spacing w:after="0" w:line="223" w:lineRule="auto"/>
            </w:pPr>
            <w:r>
              <w:rPr>
                <w:rFonts w:ascii="Times New Roman" w:hAnsi="Times New Roman"/>
                <w:sz w:val="13"/>
              </w:rPr>
              <w:t>Deut. 27:8</w:t>
            </w:r>
          </w:p>
        </w:tc>
        <w:tc>
          <w:tcPr>
            <w:tcW w:type="dxa" w:w="3561"/>
            <w:vAlign w:val="top"/>
          </w:tcPr>
          <w:p>
            <w:pPr>
              <w:spacing w:after="0" w:line="223" w:lineRule="auto"/>
            </w:pPr>
            <w:r>
              <w:rPr>
                <w:rFonts w:ascii="Times New Roman" w:hAnsi="Times New Roman"/>
                <w:sz w:val="13"/>
              </w:rPr>
              <w:t>ba’er hetev</w:t>
            </w:r>
          </w:p>
        </w:tc>
        <w:tc>
          <w:tcPr>
            <w:tcW w:type="dxa" w:w="3561"/>
            <w:vAlign w:val="top"/>
          </w:tcPr>
          <w:p>
            <w:pPr>
              <w:spacing w:after="0" w:line="223" w:lineRule="auto"/>
            </w:pPr>
            <w:r>
              <w:rPr>
                <w:rFonts w:ascii="Times New Roman" w:hAnsi="Times New Roman"/>
                <w:sz w:val="13"/>
              </w:rPr>
              <w:t>Very plainly / make thoroughly clear.</w:t>
            </w:r>
          </w:p>
        </w:tc>
      </w:tr>
      <w:tr>
        <w:tc>
          <w:tcPr>
            <w:tcW w:type="dxa" w:w="3561"/>
            <w:vAlign w:val="top"/>
          </w:tcPr>
          <w:p>
            <w:pPr>
              <w:spacing w:after="0" w:line="223" w:lineRule="auto"/>
            </w:pPr>
            <w:r>
              <w:rPr>
                <w:rFonts w:ascii="Times New Roman" w:hAnsi="Times New Roman"/>
                <w:sz w:val="13"/>
              </w:rPr>
              <w:t>Deut. 27:9</w:t>
            </w:r>
          </w:p>
        </w:tc>
        <w:tc>
          <w:tcPr>
            <w:tcW w:type="dxa" w:w="3561"/>
            <w:vAlign w:val="top"/>
          </w:tcPr>
          <w:p>
            <w:pPr>
              <w:spacing w:after="0" w:line="223" w:lineRule="auto"/>
            </w:pPr>
            <w:r>
              <w:rPr>
                <w:rFonts w:ascii="Times New Roman" w:hAnsi="Times New Roman"/>
                <w:sz w:val="13"/>
              </w:rPr>
              <w:t>become Yahweh’s people</w:t>
            </w:r>
          </w:p>
        </w:tc>
        <w:tc>
          <w:tcPr>
            <w:tcW w:type="dxa" w:w="3561"/>
            <w:vAlign w:val="top"/>
          </w:tcPr>
          <w:p>
            <w:pPr>
              <w:spacing w:after="0" w:line="223" w:lineRule="auto"/>
            </w:pPr>
            <w:r>
              <w:rPr>
                <w:rFonts w:ascii="Times New Roman" w:hAnsi="Times New Roman"/>
                <w:sz w:val="13"/>
              </w:rPr>
              <w:t>Covenant renewal/affirmation.</w:t>
            </w:r>
          </w:p>
        </w:tc>
      </w:tr>
      <w:tr>
        <w:tc>
          <w:tcPr>
            <w:tcW w:type="dxa" w:w="3561"/>
            <w:vAlign w:val="top"/>
          </w:tcPr>
          <w:p>
            <w:pPr>
              <w:spacing w:after="0" w:line="223" w:lineRule="auto"/>
            </w:pPr>
            <w:r>
              <w:rPr>
                <w:rFonts w:ascii="Times New Roman" w:hAnsi="Times New Roman"/>
                <w:sz w:val="13"/>
              </w:rPr>
              <w:t>Deut. 27:12</w:t>
            </w:r>
          </w:p>
        </w:tc>
        <w:tc>
          <w:tcPr>
            <w:tcW w:type="dxa" w:w="3561"/>
            <w:vAlign w:val="top"/>
          </w:tcPr>
          <w:p>
            <w:pPr>
              <w:spacing w:after="0" w:line="223" w:lineRule="auto"/>
            </w:pPr>
            <w:r>
              <w:rPr>
                <w:rFonts w:ascii="Times New Roman" w:hAnsi="Times New Roman"/>
                <w:sz w:val="13"/>
              </w:rPr>
              <w:t>Gerizim tribes</w:t>
            </w:r>
          </w:p>
        </w:tc>
        <w:tc>
          <w:tcPr>
            <w:tcW w:type="dxa" w:w="3561"/>
            <w:vAlign w:val="top"/>
          </w:tcPr>
          <w:p>
            <w:pPr>
              <w:spacing w:after="0" w:line="223" w:lineRule="auto"/>
            </w:pPr>
            <w:r>
              <w:rPr>
                <w:rFonts w:ascii="Times New Roman" w:hAnsi="Times New Roman"/>
                <w:sz w:val="13"/>
              </w:rPr>
              <w:t>Simeon, Levi, Judah, Issachar, Joseph, Benjamin.</w:t>
            </w:r>
          </w:p>
        </w:tc>
      </w:tr>
      <w:tr>
        <w:tc>
          <w:tcPr>
            <w:tcW w:type="dxa" w:w="3561"/>
            <w:vAlign w:val="top"/>
          </w:tcPr>
          <w:p>
            <w:pPr>
              <w:spacing w:after="0" w:line="223" w:lineRule="auto"/>
            </w:pPr>
            <w:r>
              <w:rPr>
                <w:rFonts w:ascii="Times New Roman" w:hAnsi="Times New Roman"/>
                <w:sz w:val="13"/>
              </w:rPr>
              <w:t>Deut. 27:13</w:t>
            </w:r>
          </w:p>
        </w:tc>
        <w:tc>
          <w:tcPr>
            <w:tcW w:type="dxa" w:w="3561"/>
            <w:vAlign w:val="top"/>
          </w:tcPr>
          <w:p>
            <w:pPr>
              <w:spacing w:after="0" w:line="223" w:lineRule="auto"/>
            </w:pPr>
            <w:r>
              <w:rPr>
                <w:rFonts w:ascii="Times New Roman" w:hAnsi="Times New Roman"/>
                <w:sz w:val="13"/>
              </w:rPr>
              <w:t>Ebal tribes</w:t>
            </w:r>
          </w:p>
        </w:tc>
        <w:tc>
          <w:tcPr>
            <w:tcW w:type="dxa" w:w="3561"/>
            <w:vAlign w:val="top"/>
          </w:tcPr>
          <w:p>
            <w:pPr>
              <w:spacing w:after="0" w:line="223" w:lineRule="auto"/>
            </w:pPr>
            <w:r>
              <w:rPr>
                <w:rFonts w:ascii="Times New Roman" w:hAnsi="Times New Roman"/>
                <w:sz w:val="13"/>
              </w:rPr>
              <w:t>Reuben, Gad, Asher, Zebulun, Dan, Naphtali.</w:t>
            </w:r>
          </w:p>
        </w:tc>
      </w:tr>
      <w:tr>
        <w:tc>
          <w:tcPr>
            <w:tcW w:type="dxa" w:w="3561"/>
            <w:vAlign w:val="top"/>
          </w:tcPr>
          <w:p>
            <w:pPr>
              <w:spacing w:after="0" w:line="223" w:lineRule="auto"/>
            </w:pPr>
            <w:r>
              <w:rPr>
                <w:rFonts w:ascii="Times New Roman" w:hAnsi="Times New Roman"/>
                <w:sz w:val="13"/>
              </w:rPr>
              <w:t>Name-sentence schemes</w:t>
            </w:r>
          </w:p>
        </w:tc>
        <w:tc>
          <w:tcPr>
            <w:tcW w:type="dxa" w:w="3561"/>
            <w:vAlign w:val="top"/>
          </w:tcPr>
          <w:p>
            <w:pPr>
              <w:spacing w:after="0" w:line="223" w:lineRule="auto"/>
            </w:pPr>
            <w:r>
              <w:rPr>
                <w:rFonts w:ascii="Times New Roman" w:hAnsi="Times New Roman"/>
                <w:sz w:val="13"/>
              </w:rPr>
              <w:t>secondary typology</w:t>
            </w:r>
          </w:p>
        </w:tc>
        <w:tc>
          <w:tcPr>
            <w:tcW w:type="dxa" w:w="3561"/>
            <w:vAlign w:val="top"/>
          </w:tcPr>
          <w:p>
            <w:pPr>
              <w:spacing w:after="0" w:line="223" w:lineRule="auto"/>
            </w:pPr>
            <w:r>
              <w:rPr>
                <w:rFonts w:ascii="Times New Roman" w:hAnsi="Times New Roman"/>
                <w:sz w:val="13"/>
              </w:rPr>
              <w:t>Not encoded statements asserted by text.</w:t>
            </w:r>
          </w:p>
        </w:tc>
      </w:tr>
      <w:tr>
        <w:tc>
          <w:tcPr>
            <w:tcW w:type="dxa" w:w="3561"/>
            <w:vAlign w:val="top"/>
          </w:tcPr>
          <w:p>
            <w:pPr>
              <w:spacing w:after="0" w:line="223" w:lineRule="auto"/>
            </w:pPr>
            <w:r>
              <w:rPr>
                <w:rFonts w:ascii="Times New Roman" w:hAnsi="Times New Roman"/>
                <w:sz w:val="13"/>
              </w:rPr>
              <w:t>Deut. 27:14</w:t>
            </w:r>
          </w:p>
        </w:tc>
        <w:tc>
          <w:tcPr>
            <w:tcW w:type="dxa" w:w="3561"/>
            <w:vAlign w:val="top"/>
          </w:tcPr>
          <w:p>
            <w:pPr>
              <w:spacing w:after="0" w:line="223" w:lineRule="auto"/>
            </w:pPr>
            <w:r>
              <w:rPr>
                <w:rFonts w:ascii="Times New Roman" w:hAnsi="Times New Roman"/>
                <w:sz w:val="13"/>
              </w:rPr>
              <w:t>Levites proclaim</w:t>
            </w:r>
          </w:p>
        </w:tc>
        <w:tc>
          <w:tcPr>
            <w:tcW w:type="dxa" w:w="3561"/>
            <w:vAlign w:val="top"/>
          </w:tcPr>
          <w:p>
            <w:pPr>
              <w:spacing w:after="0" w:line="223" w:lineRule="auto"/>
            </w:pPr>
            <w:r>
              <w:rPr>
                <w:rFonts w:ascii="Times New Roman" w:hAnsi="Times New Roman"/>
                <w:sz w:val="13"/>
              </w:rPr>
              <w:t>Compatible with tribal Levi on Gerizim.</w:t>
            </w:r>
          </w:p>
        </w:tc>
      </w:tr>
      <w:tr>
        <w:tc>
          <w:tcPr>
            <w:tcW w:type="dxa" w:w="3561"/>
            <w:vAlign w:val="top"/>
          </w:tcPr>
          <w:p>
            <w:pPr>
              <w:spacing w:after="0" w:line="223" w:lineRule="auto"/>
            </w:pPr>
            <w:r>
              <w:rPr>
                <w:rFonts w:ascii="Times New Roman" w:hAnsi="Times New Roman"/>
                <w:sz w:val="13"/>
              </w:rPr>
              <w:t>Deut. 27:15–26</w:t>
            </w:r>
          </w:p>
        </w:tc>
        <w:tc>
          <w:tcPr>
            <w:tcW w:type="dxa" w:w="3561"/>
            <w:vAlign w:val="top"/>
          </w:tcPr>
          <w:p>
            <w:pPr>
              <w:spacing w:after="0" w:line="223" w:lineRule="auto"/>
            </w:pPr>
            <w:r>
              <w:rPr>
                <w:rFonts w:ascii="Times New Roman" w:hAnsi="Times New Roman"/>
                <w:sz w:val="13"/>
              </w:rPr>
              <w:t>12 curses</w:t>
            </w:r>
          </w:p>
        </w:tc>
        <w:tc>
          <w:tcPr>
            <w:tcW w:type="dxa" w:w="3561"/>
            <w:vAlign w:val="top"/>
          </w:tcPr>
          <w:p>
            <w:pPr>
              <w:spacing w:after="0" w:line="223" w:lineRule="auto"/>
            </w:pPr>
            <w:r>
              <w:rPr>
                <w:rFonts w:ascii="Times New Roman" w:hAnsi="Times New Roman"/>
                <w:sz w:val="13"/>
              </w:rPr>
              <w:t>Each receives national Amen.</w:t>
            </w:r>
          </w:p>
        </w:tc>
      </w:tr>
      <w:tr>
        <w:tc>
          <w:tcPr>
            <w:tcW w:type="dxa" w:w="3561"/>
            <w:vAlign w:val="top"/>
          </w:tcPr>
          <w:p>
            <w:pPr>
              <w:spacing w:after="0" w:line="223" w:lineRule="auto"/>
            </w:pPr>
            <w:r>
              <w:rPr>
                <w:rFonts w:ascii="Times New Roman" w:hAnsi="Times New Roman"/>
                <w:sz w:val="13"/>
              </w:rPr>
              <w:t>Deut. 27:26</w:t>
            </w:r>
          </w:p>
        </w:tc>
        <w:tc>
          <w:tcPr>
            <w:tcW w:type="dxa" w:w="3561"/>
            <w:vAlign w:val="top"/>
          </w:tcPr>
          <w:p>
            <w:pPr>
              <w:spacing w:after="0" w:line="223" w:lineRule="auto"/>
            </w:pPr>
            <w:r>
              <w:rPr>
                <w:rFonts w:ascii="Times New Roman" w:hAnsi="Times New Roman"/>
                <w:sz w:val="13"/>
              </w:rPr>
              <w:t>yaqim</w:t>
            </w:r>
          </w:p>
        </w:tc>
        <w:tc>
          <w:tcPr>
            <w:tcW w:type="dxa" w:w="3561"/>
            <w:vAlign w:val="top"/>
          </w:tcPr>
          <w:p>
            <w:pPr>
              <w:spacing w:after="0" w:line="223" w:lineRule="auto"/>
            </w:pPr>
            <w:r>
              <w:rPr>
                <w:rFonts w:ascii="Times New Roman" w:hAnsi="Times New Roman"/>
                <w:sz w:val="13"/>
              </w:rPr>
              <w:t>Uphold/establish/confirm by doing.</w:t>
            </w:r>
          </w:p>
        </w:tc>
      </w:tr>
      <w:tr>
        <w:tc>
          <w:tcPr>
            <w:tcW w:type="dxa" w:w="3561"/>
            <w:vAlign w:val="top"/>
          </w:tcPr>
          <w:p>
            <w:pPr>
              <w:spacing w:after="0" w:line="223" w:lineRule="auto"/>
            </w:pPr>
            <w:r>
              <w:rPr>
                <w:rFonts w:ascii="Times New Roman" w:hAnsi="Times New Roman"/>
                <w:sz w:val="13"/>
              </w:rPr>
              <w:t>Gal. 3:10</w:t>
            </w:r>
          </w:p>
        </w:tc>
        <w:tc>
          <w:tcPr>
            <w:tcW w:type="dxa" w:w="3561"/>
            <w:vAlign w:val="top"/>
          </w:tcPr>
          <w:p>
            <w:pPr>
              <w:spacing w:after="0" w:line="223" w:lineRule="auto"/>
            </w:pPr>
            <w:r>
              <w:rPr>
                <w:rFonts w:ascii="Times New Roman" w:hAnsi="Times New Roman"/>
                <w:sz w:val="13"/>
              </w:rPr>
              <w:t>LXX-form quotation</w:t>
            </w:r>
          </w:p>
        </w:tc>
        <w:tc>
          <w:tcPr>
            <w:tcW w:type="dxa" w:w="3561"/>
            <w:vAlign w:val="top"/>
          </w:tcPr>
          <w:p>
            <w:pPr>
              <w:spacing w:after="0" w:line="223" w:lineRule="auto"/>
            </w:pPr>
            <w:r>
              <w:rPr>
                <w:rFonts w:ascii="Times New Roman" w:hAnsi="Times New Roman"/>
                <w:sz w:val="13"/>
              </w:rPr>
              <w:t>Direct Pauline use of Deut. 27:26.</w:t>
            </w:r>
          </w:p>
        </w:tc>
      </w:tr>
    </w:tbl>
    <w:p>
      <w:pPr>
        <w:pStyle w:val="Heading1"/>
      </w:pPr>
      <w:r>
        <w:t>RESIDUAL UNCERTAINTIES</w:t>
      </w:r>
    </w:p>
    <w:p>
      <w:pPr/>
      <w:r>
        <w:rPr>
          <w:i w:val="0"/>
        </w:rPr>
        <w:t>The Ebal/Gerizim textual variant is ancient and significant; this edition follows KJV/MT while recording it. The extent of the inscription and exact physical positioning of the tribes are also not completely specified. Mansfield’s claim about suppression of “all” in printed Hebrew Bibles has not been retained.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