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28</w:t>
      </w:r>
    </w:p>
    <w:p>
      <w:pPr>
        <w:pStyle w:val="Subtitle"/>
      </w:pPr>
      <w:r>
        <w:t>BLESSING IF ISRAEL HEARS • CURSE IF ISRAEL REFUSES • CITY, FIELD, FAMILY, HARVEST AND NATION • DROUGHT, DISEASE AND DEFEAT • EXILE AND FOREIGN ASCENDANCY • SIEGE AND FAMINE • THE GLORIOUS AND FEARFUL NAME • SCATTERING • RETURN TOWARD EGYPT</w:t>
      </w:r>
    </w:p>
    <w:p>
      <w:pPr/>
      <w:r>
        <w:rPr>
          <w:i/>
        </w:rPr>
        <w:t>H. P. Mansfield Bible notes — checked and arranged in verse-by-verse Expositor style</w:t>
      </w:r>
    </w:p>
    <w:p>
      <w:pPr/>
      <w:r>
        <w:rPr>
          <w:i w:val="0"/>
        </w:rPr>
        <w:t>Source: HPB 04-Deu01-Jud04.PDF pp. 42–45; cross-checked with Mansfield’s Deuteronomy Expositor Chapter 28, Leviticus 26 and later biblical historical accounts.</w:t>
      </w:r>
    </w:p>
    <w:p>
      <w:pPr>
        <w:pStyle w:val="Heading1"/>
      </w:pPr>
      <w:r>
        <w:t>CHAPTER OVERVIEW</w:t>
      </w:r>
    </w:p>
    <w:p>
      <w:pPr/>
      <w:r>
        <w:rPr>
          <w:i w:val="0"/>
        </w:rPr>
        <w:t>Deuteronomy 28 is the great covenant-sanctions chapter. Fourteen verses describe blessing when Israel diligently hears and obeys; the far longer curse section describes progressive reversal when Israel refuses Yahweh’s voice.</w:t>
      </w:r>
    </w:p>
    <w:p>
      <w:pPr/>
      <w:r>
        <w:rPr>
          <w:i w:val="0"/>
        </w:rPr>
        <w:t>The chapter is both legal warning and prophetic horizon. Later Israelite history repeatedly displays its patterns—defeat, famine, siege, exile and dispersion—but the text should not be forced into a scheme where every phrase has only one historical fulfilment.</w:t>
      </w:r>
    </w:p>
    <w:p>
      <w:pPr>
        <w:pStyle w:val="Heading1"/>
      </w:pPr>
      <w:r>
        <w:t>THE CONDITION OF BLESSING — DEUTERONOMY 28:1–2</w:t>
      </w:r>
    </w:p>
    <w:p>
      <w:pPr>
        <w:pStyle w:val="Heading2"/>
      </w:pPr>
      <w:r>
        <w:t>Deuteronomy 28:1 — diligently hear and do</w:t>
      </w:r>
    </w:p>
    <w:p>
      <w:pPr/>
      <w:r>
        <w:rPr>
          <w:i w:val="0"/>
        </w:rPr>
        <w:t>If Israel diligently hears Yahweh’s voice and carefully does His commands, Yahweh will set the nation high above the nations.</w:t>
      </w:r>
    </w:p>
    <w:p>
      <w:pPr/>
      <w:r>
        <w:rPr>
          <w:i w:val="0"/>
        </w:rPr>
        <w:t>The condition is covenant obedience, not racial entitlement or automatic possession.</w:t>
      </w:r>
    </w:p>
    <w:p>
      <w:pPr>
        <w:pStyle w:val="Heading2"/>
      </w:pPr>
      <w:r>
        <w:t>Deuteronomy 28:2 — blessings overtake</w:t>
      </w:r>
    </w:p>
    <w:p>
      <w:pPr/>
      <w:r>
        <w:rPr>
          <w:i w:val="0"/>
        </w:rPr>
        <w:t>The blessings come upon and overtake obedient Israel, personified as pursuing gifts from Yahweh.</w:t>
      </w:r>
    </w:p>
    <w:p>
      <w:pPr>
        <w:pStyle w:val="Heading1"/>
      </w:pPr>
      <w:r>
        <w:t>BLESSING THROUGH ORDINARY LIFE — DEUTERONOMY 28:3–6</w:t>
      </w:r>
    </w:p>
    <w:p>
      <w:pPr>
        <w:pStyle w:val="Heading2"/>
      </w:pPr>
      <w:r>
        <w:t>Deuteronomy 28:3–4 — city, field, children, crops and livestock</w:t>
      </w:r>
    </w:p>
    <w:p>
      <w:pPr/>
      <w:r>
        <w:rPr>
          <w:i w:val="0"/>
        </w:rPr>
        <w:t>Blessing reaches urban and rural life, offspring, agricultural produce and herds/flocks.</w:t>
      </w:r>
    </w:p>
    <w:p>
      <w:pPr>
        <w:pStyle w:val="Heading2"/>
      </w:pPr>
      <w:r>
        <w:t>Deuteronomy 28:5 — basket and kneading bowl</w:t>
      </w:r>
    </w:p>
    <w:p>
      <w:pPr/>
      <w:r>
        <w:rPr>
          <w:i w:val="0"/>
        </w:rPr>
        <w:t>KJV “basket and thy store” translates `tene’` and `mish’eret`. The second word is a kneading bowl/trough, not a storehouse.</w:t>
      </w:r>
    </w:p>
    <w:p>
      <w:pPr/>
      <w:r>
        <w:rPr>
          <w:i w:val="0"/>
        </w:rPr>
        <w:t>Mansfield correctly notes the kneading-trough sense in his verse comment; it should be made explicit in the edited chapter so “store” is not confused with verse 8’s actual storehouses.</w:t>
      </w:r>
    </w:p>
    <w:p>
      <w:pPr>
        <w:pStyle w:val="Heading2"/>
      </w:pPr>
      <w:r>
        <w:t>Deuteronomy 28:6 — coming in and going out</w:t>
      </w:r>
    </w:p>
    <w:p>
      <w:pPr/>
      <w:r>
        <w:rPr>
          <w:i w:val="0"/>
        </w:rPr>
        <w:t>Blessing encompasses the ordinary course of life and activity.</w:t>
      </w:r>
    </w:p>
    <w:p>
      <w:pPr>
        <w:pStyle w:val="Heading1"/>
      </w:pPr>
      <w:r>
        <w:t>VICTORY, PROVISION AND NATIONAL HOLINESS — DEUTERONOMY 28:7–14</w:t>
      </w:r>
    </w:p>
    <w:p>
      <w:pPr>
        <w:pStyle w:val="Heading2"/>
      </w:pPr>
      <w:r>
        <w:t>Deuteronomy 28:7 — enemies flee seven ways</w:t>
      </w:r>
    </w:p>
    <w:p>
      <w:pPr/>
      <w:r>
        <w:rPr>
          <w:i w:val="0"/>
        </w:rPr>
        <w:t>Enemies attack as a united force and flee in disarray; “seven ways” expresses complete scattering rather than a tactical arithmetic formula.</w:t>
      </w:r>
    </w:p>
    <w:p>
      <w:pPr>
        <w:pStyle w:val="Heading2"/>
      </w:pPr>
      <w:r>
        <w:t>Deuteronomy 28:8 — storehouses and work</w:t>
      </w:r>
    </w:p>
    <w:p>
      <w:pPr/>
      <w:r>
        <w:rPr>
          <w:i w:val="0"/>
        </w:rPr>
        <w:t>Yahweh commands blessing on Israel’s `asamim`, barns/storehouses, and on the work of its hand.</w:t>
      </w:r>
    </w:p>
    <w:p>
      <w:pPr>
        <w:pStyle w:val="Heading2"/>
      </w:pPr>
      <w:r>
        <w:t>Deuteronomy 28:9–10 — holy people called by Yahweh’s Name</w:t>
      </w:r>
    </w:p>
    <w:p>
      <w:pPr/>
      <w:r>
        <w:rPr>
          <w:i w:val="0"/>
        </w:rPr>
        <w:t>Yahweh establishes Israel as a holy people if it walks in His ways; the nations see that Yahweh’s Name is called upon Israel and fear.</w:t>
      </w:r>
    </w:p>
    <w:p>
      <w:pPr/>
      <w:r>
        <w:rPr>
          <w:i w:val="0"/>
        </w:rPr>
        <w:t>Being “called by the Name” denotes belonging to and representing Yahweh, not merely pronouncing the Divine Name correctly.</w:t>
      </w:r>
    </w:p>
    <w:p>
      <w:pPr>
        <w:pStyle w:val="Heading2"/>
      </w:pPr>
      <w:r>
        <w:t>Deuteronomy 28:11–12 — fruitfulness and heaven’s good treasury</w:t>
      </w:r>
    </w:p>
    <w:p>
      <w:pPr/>
      <w:r>
        <w:rPr>
          <w:i w:val="0"/>
        </w:rPr>
        <w:t>Israel prospers in children, livestock and land; Yahweh opens His good treasury, the heavens, to give rain in season and bless labour.</w:t>
      </w:r>
    </w:p>
    <w:p>
      <w:pPr/>
      <w:r>
        <w:rPr>
          <w:i w:val="0"/>
        </w:rPr>
        <w:t>The land covenant links agricultural abundance with rain from Yahweh.</w:t>
      </w:r>
    </w:p>
    <w:p>
      <w:pPr>
        <w:pStyle w:val="Heading2"/>
      </w:pPr>
      <w:r>
        <w:t>Deuteronomy 28:12–13 — lender, head, above</w:t>
      </w:r>
    </w:p>
    <w:p>
      <w:pPr/>
      <w:r>
        <w:rPr>
          <w:i w:val="0"/>
        </w:rPr>
        <w:t>Israel lends rather than borrows and becomes head rather than tail, above rather than beneath—always under the repeated condition of hearing and doing.</w:t>
      </w:r>
    </w:p>
    <w:p>
      <w:pPr>
        <w:pStyle w:val="Heading2"/>
      </w:pPr>
      <w:r>
        <w:t>Deuteronomy 28:14 — no turning to other gods</w:t>
      </w:r>
    </w:p>
    <w:p>
      <w:pPr/>
      <w:r>
        <w:rPr>
          <w:i w:val="0"/>
        </w:rPr>
        <w:t>The blessing section ends by forbidding deviation right or left toward other gods.</w:t>
      </w:r>
    </w:p>
    <w:p>
      <w:pPr>
        <w:pStyle w:val="Heading1"/>
      </w:pPr>
      <w:r>
        <w:t>THE CURSE BEGINS AS REVERSAL — DEUTERONOMY 28:15–19</w:t>
      </w:r>
    </w:p>
    <w:p>
      <w:pPr>
        <w:pStyle w:val="Heading2"/>
      </w:pPr>
      <w:r>
        <w:t>Deuteronomy 28:15 — refusal to hear</w:t>
      </w:r>
    </w:p>
    <w:p>
      <w:pPr/>
      <w:r>
        <w:rPr>
          <w:i w:val="0"/>
        </w:rPr>
        <w:t>If Israel will not hear Yahweh or do His commands, the curses come and overtake it.</w:t>
      </w:r>
    </w:p>
    <w:p>
      <w:pPr>
        <w:pStyle w:val="Heading2"/>
      </w:pPr>
      <w:r>
        <w:t>Deuteronomy 28:16–19 — blessing vocabulary reversed</w:t>
      </w:r>
    </w:p>
    <w:p>
      <w:pPr/>
      <w:r>
        <w:rPr>
          <w:i w:val="0"/>
        </w:rPr>
        <w:t>City, field, basket, kneading bowl, children, crops, livestock, coming in and going out are all cursed.</w:t>
      </w:r>
    </w:p>
    <w:p>
      <w:pPr/>
      <w:r>
        <w:rPr>
          <w:i w:val="0"/>
        </w:rPr>
        <w:t>The deliberate reversal makes covenant logic unmistakable.</w:t>
      </w:r>
    </w:p>
    <w:p>
      <w:pPr>
        <w:pStyle w:val="Heading1"/>
      </w:pPr>
      <w:r>
        <w:t>DISEASE, DROUGHT AND DEFEAT — DEUTERONOMY 28:20–29</w:t>
      </w:r>
    </w:p>
    <w:p>
      <w:pPr>
        <w:pStyle w:val="Heading2"/>
      </w:pPr>
      <w:r>
        <w:t>Deuteronomy 28:20 — curse, confusion and rebuke</w:t>
      </w:r>
    </w:p>
    <w:p>
      <w:pPr/>
      <w:r>
        <w:rPr>
          <w:i w:val="0"/>
        </w:rPr>
        <w:t>Yahweh sends curse, `mehumah` confusion/panic and rebuke upon Israel’s undertakings because it has forsaken Him.</w:t>
      </w:r>
    </w:p>
    <w:p>
      <w:pPr>
        <w:pStyle w:val="Heading2"/>
      </w:pPr>
      <w:r>
        <w:t>Deuteronomy 28:21–22 — pestilence and disease terms</w:t>
      </w:r>
    </w:p>
    <w:p>
      <w:pPr/>
      <w:r>
        <w:rPr>
          <w:i w:val="0"/>
        </w:rPr>
        <w:t>The chapter lists pestilence, consumption, fever, inflammation, burning heat and crop/weather afflictions.</w:t>
      </w:r>
    </w:p>
    <w:p>
      <w:pPr/>
      <w:r>
        <w:rPr>
          <w:i w:val="0"/>
        </w:rPr>
        <w:t>Several Hebrew disease/environment terms cannot be mapped with confidence to precise modern diagnoses. Mansfield’s historical applications should therefore not convert ancient labels into exact medical conditions.</w:t>
      </w:r>
    </w:p>
    <w:p>
      <w:pPr>
        <w:pStyle w:val="Heading2"/>
      </w:pPr>
      <w:r>
        <w:t>Deuteronomy 28:23–24 — bronze heaven, iron earth, dust rain</w:t>
      </w:r>
    </w:p>
    <w:p>
      <w:pPr/>
      <w:r>
        <w:rPr>
          <w:i w:val="0"/>
        </w:rPr>
        <w:t>The heavens become like bronze and earth like iron; rain is replaced by powder and dust.</w:t>
      </w:r>
    </w:p>
    <w:p>
      <w:pPr/>
      <w:r>
        <w:rPr>
          <w:i w:val="0"/>
        </w:rPr>
        <w:t>The images describe devastating drought and agricultural collapse.</w:t>
      </w:r>
    </w:p>
    <w:p>
      <w:pPr>
        <w:pStyle w:val="Heading2"/>
      </w:pPr>
      <w:r>
        <w:t>Deuteronomy 28:25–26 — victory reversed</w:t>
      </w:r>
    </w:p>
    <w:p>
      <w:pPr/>
      <w:r>
        <w:rPr>
          <w:i w:val="0"/>
        </w:rPr>
        <w:t>Israel attacks one way and flees seven, becomes an object of horror/tossing among kingdoms, and its corpses feed birds and beasts.</w:t>
      </w:r>
    </w:p>
    <w:p>
      <w:pPr>
        <w:pStyle w:val="Heading2"/>
      </w:pPr>
      <w:r>
        <w:t>Deuteronomy 28:27 — `ophalim` and other afflictions</w:t>
      </w:r>
    </w:p>
    <w:p>
      <w:pPr/>
      <w:r>
        <w:rPr>
          <w:i w:val="0"/>
        </w:rPr>
        <w:t>KJV “emerods” renders `ophalim`, commonly tumors/swellings and traditionally hemorrhoids in some contexts. The exact medical condition is uncertain.</w:t>
      </w:r>
    </w:p>
    <w:p>
      <w:pPr/>
      <w:r>
        <w:rPr>
          <w:i w:val="0"/>
        </w:rPr>
        <w:t>Egyptian boils, scab and itch are likewise described without permitting confident modern retrospective diagnosis.</w:t>
      </w:r>
    </w:p>
    <w:p>
      <w:pPr>
        <w:pStyle w:val="Heading2"/>
      </w:pPr>
      <w:r>
        <w:t>Deuteronomy 28:28–29 — mental and perceptual affliction</w:t>
      </w:r>
    </w:p>
    <w:p>
      <w:pPr/>
      <w:r>
        <w:rPr>
          <w:i w:val="0"/>
        </w:rPr>
        <w:t>Madness, blindness and astonishment/confusion of heart leave Israel groping like a blind person at noon and continually oppressed.</w:t>
      </w:r>
    </w:p>
    <w:p>
      <w:pPr>
        <w:pStyle w:val="Heading1"/>
      </w:pPr>
      <w:r>
        <w:t>FRUSTRATED LIFE AND EXILE — DEUTERONOMY 28:30–44</w:t>
      </w:r>
    </w:p>
    <w:p>
      <w:pPr>
        <w:pStyle w:val="Heading2"/>
      </w:pPr>
      <w:r>
        <w:t>Deuteronomy 28:30–35 — what is begun, another enjoys</w:t>
      </w:r>
    </w:p>
    <w:p>
      <w:pPr/>
      <w:r>
        <w:rPr>
          <w:i w:val="0"/>
        </w:rPr>
        <w:t>Betrothal, house-building, vineyard planting, livestock, children and bodily health are all frustrated under covenant judgment.</w:t>
      </w:r>
    </w:p>
    <w:p>
      <w:pPr>
        <w:pStyle w:val="Heading2"/>
      </w:pPr>
      <w:r>
        <w:t>Deuteronomy 28:36–37 — king and nation exiled</w:t>
      </w:r>
    </w:p>
    <w:p>
      <w:pPr/>
      <w:r>
        <w:rPr>
          <w:i w:val="0"/>
        </w:rPr>
        <w:t>Israel and its king are taken to a nation unknown to the fathers, where idolatrous service follows, and Israel becomes astonishment, proverb and byword.</w:t>
      </w:r>
    </w:p>
    <w:p>
      <w:pPr/>
      <w:r>
        <w:rPr>
          <w:i w:val="0"/>
        </w:rPr>
        <w:t>Assyrian and Babylonian deportations strongly exemplify this pattern. The wording is broad enough to encompass repeated later exile experience as well.</w:t>
      </w:r>
    </w:p>
    <w:p>
      <w:pPr>
        <w:pStyle w:val="Heading2"/>
      </w:pPr>
      <w:r>
        <w:t>Deuteronomy 28:38–42 — agricultural reversal</w:t>
      </w:r>
    </w:p>
    <w:p>
      <w:pPr/>
      <w:r>
        <w:rPr>
          <w:i w:val="0"/>
        </w:rPr>
        <w:t>Locust and worm consume seed, vineyard and trees; abundance of labour yields little benefit.</w:t>
      </w:r>
    </w:p>
    <w:p>
      <w:pPr>
        <w:pStyle w:val="Heading2"/>
      </w:pPr>
      <w:r>
        <w:t>Deuteronomy 28:43–44 — stranger rises above Israel</w:t>
      </w:r>
    </w:p>
    <w:p>
      <w:pPr/>
      <w:r>
        <w:rPr>
          <w:i w:val="0"/>
        </w:rPr>
        <w:t>The foreign resident rises higher while Israel sinks lower; he lends to Israel and becomes head while Israel becomes tail.</w:t>
      </w:r>
    </w:p>
    <w:p>
      <w:pPr>
        <w:pStyle w:val="Heading1"/>
      </w:pPr>
      <w:r>
        <w:t>WHY THE CURSES COME — DEUTERONOMY 28:45–48</w:t>
      </w:r>
    </w:p>
    <w:p>
      <w:pPr>
        <w:pStyle w:val="Heading2"/>
      </w:pPr>
      <w:r>
        <w:t>Deuteronomy 28:45–46 — refusal to obey</w:t>
      </w:r>
    </w:p>
    <w:p>
      <w:pPr/>
      <w:r>
        <w:rPr>
          <w:i w:val="0"/>
        </w:rPr>
        <w:t>The curses pursue and overtake Israel because it did not hear Yahweh’s voice. They become a sign and wonder upon Israel and its seed.</w:t>
      </w:r>
    </w:p>
    <w:p>
      <w:pPr>
        <w:pStyle w:val="Heading2"/>
      </w:pPr>
      <w:r>
        <w:t>Deuteronomy 28:47 — failure to serve with joy</w:t>
      </w:r>
    </w:p>
    <w:p>
      <w:pPr/>
      <w:r>
        <w:rPr>
          <w:i w:val="0"/>
        </w:rPr>
        <w:t>Israel is condemned not only for formal transgression but for failing to serve Yahweh with joyfulness and gladness of heart amid abundance.</w:t>
      </w:r>
    </w:p>
    <w:p>
      <w:pPr>
        <w:pStyle w:val="Heading2"/>
      </w:pPr>
      <w:r>
        <w:t>Deuteronomy 28:48 — enemy yoke</w:t>
      </w:r>
    </w:p>
    <w:p>
      <w:pPr/>
      <w:r>
        <w:rPr>
          <w:i w:val="0"/>
        </w:rPr>
        <w:t>Service to enemies in hunger, thirst, nakedness and want replaces joyful service to Yahweh; an iron yoke is placed upon the neck.</w:t>
      </w:r>
    </w:p>
    <w:p>
      <w:pPr>
        <w:pStyle w:val="Heading1"/>
      </w:pPr>
      <w:r>
        <w:t>THE NATION FROM FAR AND THE SIEGE — DEUTERONOMY 28:49–57</w:t>
      </w:r>
    </w:p>
    <w:p>
      <w:pPr>
        <w:pStyle w:val="Heading2"/>
      </w:pPr>
      <w:r>
        <w:t>Deuteronomy 28:49–50 — distant nation, eagle-like swiftness</w:t>
      </w:r>
    </w:p>
    <w:p>
      <w:pPr/>
      <w:r>
        <w:rPr>
          <w:i w:val="0"/>
        </w:rPr>
        <w:t>Yahweh raises a nation from far away, swift as an eagle, with a language Israel does not understand and a fierce countenance.</w:t>
      </w:r>
    </w:p>
    <w:p>
      <w:pPr/>
      <w:r>
        <w:rPr>
          <w:i w:val="0"/>
        </w:rPr>
        <w:t>The text does not name the nation. Assyrian/Babylonian invasion, and later Roman conquest, have all been connected with the imagery in different historical applications. Mansfield’s tendency to identify the eagle-language decisively with Rome should be qualified.</w:t>
      </w:r>
    </w:p>
    <w:p>
      <w:pPr>
        <w:pStyle w:val="Heading2"/>
      </w:pPr>
      <w:r>
        <w:t>Deuteronomy 28:51–52 — consumption and siege</w:t>
      </w:r>
    </w:p>
    <w:p>
      <w:pPr/>
      <w:r>
        <w:rPr>
          <w:i w:val="0"/>
        </w:rPr>
        <w:t>The invader consumes livestock and produce and besieges Israel in fortified towns until trusted walls fall.</w:t>
      </w:r>
    </w:p>
    <w:p>
      <w:pPr>
        <w:pStyle w:val="Heading2"/>
      </w:pPr>
      <w:r>
        <w:t>Deuteronomy 28:53–57 — siege cannibalism</w:t>
      </w:r>
    </w:p>
    <w:p>
      <w:pPr/>
      <w:r>
        <w:rPr>
          <w:i w:val="0"/>
        </w:rPr>
        <w:t>Famine becomes so extreme that parents consume the flesh of their own children, and the previously tender and delicate become monstrously possessive of food.</w:t>
      </w:r>
    </w:p>
    <w:p>
      <w:pPr/>
      <w:r>
        <w:rPr>
          <w:i w:val="0"/>
        </w:rPr>
        <w:t>Later biblical and historical siege accounts tragically echo such covenant language: 2 Kings 6 records cannibalism during Samaria’s siege; Lamentations 2:20 and 4:10 use similar horror in the Babylonian catastrophe; Josephus reports cannibalism in Jerusalem in AD 70. These are layered fulfilments/echoes, not proof that verses 49–57 refer only to one siege.</w:t>
      </w:r>
    </w:p>
    <w:p>
      <w:pPr>
        <w:pStyle w:val="Heading1"/>
      </w:pPr>
      <w:r>
        <w:t>THE GLORIOUS AND FEARFUL NAME — DEUTERONOMY 28:58–61</w:t>
      </w:r>
    </w:p>
    <w:p>
      <w:pPr>
        <w:pStyle w:val="Heading2"/>
      </w:pPr>
      <w:r>
        <w:t>Deuteronomy 28:58 — fear this glorious and fearful Name</w:t>
      </w:r>
    </w:p>
    <w:p>
      <w:pPr/>
      <w:r>
        <w:rPr>
          <w:i w:val="0"/>
        </w:rPr>
        <w:t>Israel must observe the words written in “this book” so as to fear the glorious and awesome Name, “Yahweh thy God.”</w:t>
      </w:r>
    </w:p>
    <w:p>
      <w:pPr/>
      <w:r>
        <w:rPr>
          <w:i w:val="0"/>
        </w:rPr>
        <w:t>The verse demands reverence for the Divine Name and the God it identifies; it is not a cryptic instruction about one reconstructed pronunciation.</w:t>
      </w:r>
    </w:p>
    <w:p>
      <w:pPr>
        <w:pStyle w:val="Heading2"/>
      </w:pPr>
      <w:r>
        <w:t>Deuteronomy 28:59–61 — extraordinary plagues</w:t>
      </w:r>
    </w:p>
    <w:p>
      <w:pPr/>
      <w:r>
        <w:rPr>
          <w:i w:val="0"/>
        </w:rPr>
        <w:t>Persistent rebellion brings extraordinary and lasting plagues and sicknesses, including Egypt’s diseases and even afflictions not specifically written in the book of the law.</w:t>
      </w:r>
    </w:p>
    <w:p>
      <w:pPr/>
      <w:r>
        <w:rPr>
          <w:i w:val="0"/>
        </w:rPr>
        <w:t>The list is open-ended covenant judgment rather than a medical catalogue.</w:t>
      </w:r>
    </w:p>
    <w:p>
      <w:pPr>
        <w:pStyle w:val="Heading1"/>
      </w:pPr>
      <w:r>
        <w:t>FROM MANY TO FEW — DEUTERONOMY 28:62–63</w:t>
      </w:r>
    </w:p>
    <w:p>
      <w:pPr>
        <w:pStyle w:val="Heading2"/>
      </w:pPr>
      <w:r>
        <w:t>Deuteronomy 28:62 — stars become few</w:t>
      </w:r>
    </w:p>
    <w:p>
      <w:pPr/>
      <w:r>
        <w:rPr>
          <w:i w:val="0"/>
        </w:rPr>
        <w:t>Israel, once numerous as the stars, becomes few because it would not obey Yahweh’s voice.</w:t>
      </w:r>
    </w:p>
    <w:p>
      <w:pPr>
        <w:pStyle w:val="Heading2"/>
      </w:pPr>
      <w:r>
        <w:t>Deuteronomy 28:63 — covenant reversal</w:t>
      </w:r>
    </w:p>
    <w:p>
      <w:pPr/>
      <w:r>
        <w:rPr>
          <w:i w:val="0"/>
        </w:rPr>
        <w:t>The verse strikingly says that as Yahweh delighted to do good and multiply Israel, so covenant judgment will bring destruction and removal from the land.</w:t>
      </w:r>
    </w:p>
    <w:p>
      <w:pPr/>
      <w:r>
        <w:rPr>
          <w:i w:val="0"/>
        </w:rPr>
        <w:t>This is covenant-lawsuit language describing the certainty of the sanctions, not sadistic pleasure in suffering.</w:t>
      </w:r>
    </w:p>
    <w:p>
      <w:pPr>
        <w:pStyle w:val="Heading1"/>
      </w:pPr>
      <w:r>
        <w:t>SCATTERING AND RESTLESSNESS — DEUTERONOMY 28:64–67</w:t>
      </w:r>
    </w:p>
    <w:p>
      <w:pPr>
        <w:pStyle w:val="Heading2"/>
      </w:pPr>
      <w:r>
        <w:t>Deuteronomy 28:64 — one end of earth to the other</w:t>
      </w:r>
    </w:p>
    <w:p>
      <w:pPr/>
      <w:r>
        <w:rPr>
          <w:i w:val="0"/>
        </w:rPr>
        <w:t>Israel is scattered among peoples from one end of the earth to the other and encounters idolatrous environments.</w:t>
      </w:r>
    </w:p>
    <w:p>
      <w:pPr/>
      <w:r>
        <w:rPr>
          <w:i w:val="0"/>
        </w:rPr>
        <w:t>The long Jewish diaspora provides an obvious historical correspondence, while earlier Assyrian/Babylonian dispersions are also part of the covenant history.</w:t>
      </w:r>
    </w:p>
    <w:p>
      <w:pPr>
        <w:pStyle w:val="Heading2"/>
      </w:pPr>
      <w:r>
        <w:t>Deuteronomy 28:65 — no rest; trembling heart</w:t>
      </w:r>
    </w:p>
    <w:p>
      <w:pPr/>
      <w:r>
        <w:rPr>
          <w:i w:val="0"/>
        </w:rPr>
        <w:t>Among the nations Israel finds no settled ease, with trembling heart, failing eyes and sorrow/languishing of `nephesh`.</w:t>
      </w:r>
    </w:p>
    <w:p>
      <w:pPr/>
      <w:r>
        <w:rPr>
          <w:i w:val="0"/>
        </w:rPr>
        <w:t>`Nephesh` means life/self/person, not an immortal soul suffering apart from the body.</w:t>
      </w:r>
    </w:p>
    <w:p>
      <w:pPr>
        <w:pStyle w:val="Heading2"/>
      </w:pPr>
      <w:r>
        <w:t>Deuteronomy 28:66–67 — life in suspense</w:t>
      </w:r>
    </w:p>
    <w:p>
      <w:pPr/>
      <w:r>
        <w:rPr>
          <w:i w:val="0"/>
        </w:rPr>
        <w:t>Life seems suspended before the people; morning and evening are feared because of what the eyes see.</w:t>
      </w:r>
    </w:p>
    <w:p>
      <w:pPr>
        <w:pStyle w:val="Heading1"/>
      </w:pPr>
      <w:r>
        <w:t>RETURN TOWARD EGYPT — DEUTERONOMY 28:68</w:t>
      </w:r>
    </w:p>
    <w:p>
      <w:pPr>
        <w:pStyle w:val="Heading2"/>
      </w:pPr>
      <w:r>
        <w:t>Deuteronomy 28:68 — Egypt by ships</w:t>
      </w:r>
    </w:p>
    <w:p>
      <w:pPr/>
      <w:r>
        <w:rPr>
          <w:i w:val="0"/>
        </w:rPr>
        <w:t>Yahweh warns that Israel will be brought back toward Egypt in ships by a route of which He had said, “Thou shalt see it no more again.” There they will offer themselves for sale as slaves, “and no man shall buy you.”</w:t>
      </w:r>
    </w:p>
    <w:p>
      <w:pPr/>
      <w:r>
        <w:rPr>
          <w:i w:val="0"/>
        </w:rPr>
        <w:t>The imagery reverses the Exodus. The verse is historically difficult: literal Egyptian slave markets, Mediterranean deportations and broader return-to-bondage symbolism have all been proposed. Mansfield’s identification with one specific Roman slave-market fulfilment should not be stated as exclusive certainty.</w:t>
      </w:r>
    </w:p>
    <w:p>
      <w:pPr>
        <w:pStyle w:val="Heading2"/>
      </w:pPr>
      <w:r>
        <w:t>Deuteronomy 28:68 and Deuteronomy 17:16</w:t>
      </w:r>
    </w:p>
    <w:p>
      <w:pPr/>
      <w:r>
        <w:rPr>
          <w:i w:val="0"/>
        </w:rPr>
        <w:t>Deuteronomy 17 forbade a king deliberately returning Israel to Egypt to multiply horses; Deuteronomy 28 threatens forced covenant judgment back toward Egyptian bondage. The two are opposite moral situations, not a contradiction.</w:t>
      </w:r>
    </w:p>
    <w:p>
      <w:pPr>
        <w:pStyle w:val="Heading1"/>
      </w:pPr>
      <w:r>
        <w:t>CHAPTER NUMBERING NOTE</w:t>
      </w:r>
    </w:p>
    <w:p>
      <w:pPr>
        <w:pStyle w:val="Heading2"/>
      </w:pPr>
      <w:r>
        <w:t>Masoretic/Hebrew numbering</w:t>
      </w:r>
    </w:p>
    <w:p>
      <w:pPr/>
      <w:r>
        <w:rPr>
          <w:i w:val="0"/>
        </w:rPr>
        <w:t>In many Hebrew traditions the sentence corresponding to KJV Deuteronomy 29:1 is numbered Deuteronomy 28:69, closing the covenant-sanctions unit.</w:t>
      </w:r>
    </w:p>
    <w:p>
      <w:pPr/>
      <w:r>
        <w:rPr>
          <w:i w:val="0"/>
        </w:rPr>
        <w:t>This is a chapter-numbering difference only; the text itself is not different on that account.</w:t>
      </w:r>
    </w:p>
    <w:p>
      <w:pPr>
        <w:pStyle w:val="Heading1"/>
      </w:pPr>
      <w:r>
        <w:t>PRINCIPAL THEMES</w:t>
      </w:r>
    </w:p>
    <w:p>
      <w:pPr>
        <w:ind w:left="259" w:hanging="202"/>
      </w:pPr>
      <w:r>
        <w:rPr>
          <w:b/>
        </w:rPr>
        <w:t xml:space="preserve">• </w:t>
      </w:r>
      <w:r>
        <w:t>Deuteronomy 28 is conditional covenant sanction, not automatic ethnic destiny.</w:t>
      </w:r>
    </w:p>
    <w:p>
      <w:pPr>
        <w:ind w:left="259" w:hanging="202"/>
      </w:pPr>
      <w:r>
        <w:rPr>
          <w:b/>
        </w:rPr>
        <w:t xml:space="preserve">• </w:t>
      </w:r>
      <w:r>
        <w:t>KJV “store” in verse 5 is a kneading bowl; verse 8 contains the actual storehouses.</w:t>
      </w:r>
    </w:p>
    <w:p>
      <w:pPr>
        <w:ind w:left="259" w:hanging="202"/>
      </w:pPr>
      <w:r>
        <w:rPr>
          <w:b/>
        </w:rPr>
        <w:t xml:space="preserve">• </w:t>
      </w:r>
      <w:r>
        <w:t>Being called by Yahweh’s Name means belonging to and representing Him.</w:t>
      </w:r>
    </w:p>
    <w:p>
      <w:pPr>
        <w:ind w:left="259" w:hanging="202"/>
      </w:pPr>
      <w:r>
        <w:rPr>
          <w:b/>
        </w:rPr>
        <w:t xml:space="preserve">• </w:t>
      </w:r>
      <w:r>
        <w:t>Ancient disease terms should not be converted into exact modern diagnoses.</w:t>
      </w:r>
    </w:p>
    <w:p>
      <w:pPr>
        <w:ind w:left="259" w:hanging="202"/>
      </w:pPr>
      <w:r>
        <w:rPr>
          <w:b/>
        </w:rPr>
        <w:t xml:space="preserve">• </w:t>
      </w:r>
      <w:r>
        <w:t>Assyrian, Babylonian and later historical catastrophes can all exemplify the curse patterns.</w:t>
      </w:r>
    </w:p>
    <w:p>
      <w:pPr>
        <w:ind w:left="259" w:hanging="202"/>
      </w:pPr>
      <w:r>
        <w:rPr>
          <w:b/>
        </w:rPr>
        <w:t xml:space="preserve">• </w:t>
      </w:r>
      <w:r>
        <w:t>The nation of verse 49 is not named; Rome should not be asserted as the only possible referent.</w:t>
      </w:r>
    </w:p>
    <w:p>
      <w:pPr>
        <w:ind w:left="259" w:hanging="202"/>
      </w:pPr>
      <w:r>
        <w:rPr>
          <w:b/>
        </w:rPr>
        <w:t xml:space="preserve">• </w:t>
      </w:r>
      <w:r>
        <w:t>Siege cannibalism has multiple tragic biblical/historical echoes.</w:t>
      </w:r>
    </w:p>
    <w:p>
      <w:pPr>
        <w:ind w:left="259" w:hanging="202"/>
      </w:pPr>
      <w:r>
        <w:rPr>
          <w:b/>
        </w:rPr>
        <w:t xml:space="preserve">• </w:t>
      </w:r>
      <w:r>
        <w:t>Verse 58 calls for reverence for Yahweh’s Name, not a pronunciation test.</w:t>
      </w:r>
    </w:p>
    <w:p>
      <w:pPr>
        <w:ind w:left="259" w:hanging="202"/>
      </w:pPr>
      <w:r>
        <w:rPr>
          <w:b/>
        </w:rPr>
        <w:t xml:space="preserve">• </w:t>
      </w:r>
      <w:r>
        <w:t>`Nephesh` in verse 65 means life/self/person.</w:t>
      </w:r>
    </w:p>
    <w:p>
      <w:pPr>
        <w:ind w:left="259" w:hanging="202"/>
      </w:pPr>
      <w:r>
        <w:rPr>
          <w:b/>
        </w:rPr>
        <w:t xml:space="preserve">• </w:t>
      </w:r>
      <w:r>
        <w:t>The long dispersion strongly corresponds to verses 64–67 but is part of a broader covenant history.</w:t>
      </w:r>
    </w:p>
    <w:p>
      <w:pPr>
        <w:ind w:left="259" w:hanging="202"/>
      </w:pPr>
      <w:r>
        <w:rPr>
          <w:b/>
        </w:rPr>
        <w:t xml:space="preserve">• </w:t>
      </w:r>
      <w:r>
        <w:t>Verse 68 is an Exodus-reversal warning whose exact historical implementation is disputed.</w:t>
      </w:r>
    </w:p>
    <w:p>
      <w:pPr>
        <w:ind w:left="259" w:hanging="202"/>
      </w:pPr>
      <w:r>
        <w:rPr>
          <w:b/>
        </w:rPr>
        <w:t xml:space="preserve">• </w:t>
      </w:r>
      <w:r>
        <w:t>Hebrew chapter numbering may count the KJV 29:1 sentence as 28:69.</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2"/>
              </w:rPr>
              <w:t>Deut. 28:1–2</w:t>
            </w:r>
          </w:p>
        </w:tc>
        <w:tc>
          <w:tcPr>
            <w:tcW w:type="dxa" w:w="3561"/>
            <w:vAlign w:val="top"/>
          </w:tcPr>
          <w:p>
            <w:pPr>
              <w:spacing w:after="0" w:line="223" w:lineRule="auto"/>
            </w:pPr>
            <w:r>
              <w:rPr>
                <w:rFonts w:ascii="Times New Roman" w:hAnsi="Times New Roman"/>
                <w:sz w:val="12"/>
              </w:rPr>
              <w:t>hear and do</w:t>
            </w:r>
          </w:p>
        </w:tc>
        <w:tc>
          <w:tcPr>
            <w:tcW w:type="dxa" w:w="3561"/>
            <w:vAlign w:val="top"/>
          </w:tcPr>
          <w:p>
            <w:pPr>
              <w:spacing w:after="0" w:line="223" w:lineRule="auto"/>
            </w:pPr>
            <w:r>
              <w:rPr>
                <w:rFonts w:ascii="Times New Roman" w:hAnsi="Times New Roman"/>
                <w:sz w:val="12"/>
              </w:rPr>
              <w:t>Condition of blessing.</w:t>
            </w:r>
          </w:p>
        </w:tc>
      </w:tr>
      <w:tr>
        <w:tc>
          <w:tcPr>
            <w:tcW w:type="dxa" w:w="3561"/>
            <w:vAlign w:val="top"/>
          </w:tcPr>
          <w:p>
            <w:pPr>
              <w:spacing w:after="0" w:line="223" w:lineRule="auto"/>
            </w:pPr>
            <w:r>
              <w:rPr>
                <w:rFonts w:ascii="Times New Roman" w:hAnsi="Times New Roman"/>
                <w:sz w:val="12"/>
              </w:rPr>
              <w:t>Deut. 28:5</w:t>
            </w:r>
          </w:p>
        </w:tc>
        <w:tc>
          <w:tcPr>
            <w:tcW w:type="dxa" w:w="3561"/>
            <w:vAlign w:val="top"/>
          </w:tcPr>
          <w:p>
            <w:pPr>
              <w:spacing w:after="0" w:line="223" w:lineRule="auto"/>
            </w:pPr>
            <w:r>
              <w:rPr>
                <w:rFonts w:ascii="Times New Roman" w:hAnsi="Times New Roman"/>
                <w:sz w:val="12"/>
              </w:rPr>
              <w:t>mish’eret</w:t>
            </w:r>
          </w:p>
        </w:tc>
        <w:tc>
          <w:tcPr>
            <w:tcW w:type="dxa" w:w="3561"/>
            <w:vAlign w:val="top"/>
          </w:tcPr>
          <w:p>
            <w:pPr>
              <w:spacing w:after="0" w:line="223" w:lineRule="auto"/>
            </w:pPr>
            <w:r>
              <w:rPr>
                <w:rFonts w:ascii="Times New Roman" w:hAnsi="Times New Roman"/>
                <w:sz w:val="12"/>
              </w:rPr>
              <w:t>Kneading bowl/trough, not storehouse.</w:t>
            </w:r>
          </w:p>
        </w:tc>
      </w:tr>
      <w:tr>
        <w:tc>
          <w:tcPr>
            <w:tcW w:type="dxa" w:w="3561"/>
            <w:vAlign w:val="top"/>
          </w:tcPr>
          <w:p>
            <w:pPr>
              <w:spacing w:after="0" w:line="223" w:lineRule="auto"/>
            </w:pPr>
            <w:r>
              <w:rPr>
                <w:rFonts w:ascii="Times New Roman" w:hAnsi="Times New Roman"/>
                <w:sz w:val="12"/>
              </w:rPr>
              <w:t>Deut. 28:8</w:t>
            </w:r>
          </w:p>
        </w:tc>
        <w:tc>
          <w:tcPr>
            <w:tcW w:type="dxa" w:w="3561"/>
            <w:vAlign w:val="top"/>
          </w:tcPr>
          <w:p>
            <w:pPr>
              <w:spacing w:after="0" w:line="223" w:lineRule="auto"/>
            </w:pPr>
            <w:r>
              <w:rPr>
                <w:rFonts w:ascii="Times New Roman" w:hAnsi="Times New Roman"/>
                <w:sz w:val="12"/>
              </w:rPr>
              <w:t>asamim</w:t>
            </w:r>
          </w:p>
        </w:tc>
        <w:tc>
          <w:tcPr>
            <w:tcW w:type="dxa" w:w="3561"/>
            <w:vAlign w:val="top"/>
          </w:tcPr>
          <w:p>
            <w:pPr>
              <w:spacing w:after="0" w:line="223" w:lineRule="auto"/>
            </w:pPr>
            <w:r>
              <w:rPr>
                <w:rFonts w:ascii="Times New Roman" w:hAnsi="Times New Roman"/>
                <w:sz w:val="12"/>
              </w:rPr>
              <w:t>Storehouses/barns.</w:t>
            </w:r>
          </w:p>
        </w:tc>
      </w:tr>
      <w:tr>
        <w:tc>
          <w:tcPr>
            <w:tcW w:type="dxa" w:w="3561"/>
            <w:vAlign w:val="top"/>
          </w:tcPr>
          <w:p>
            <w:pPr>
              <w:spacing w:after="0" w:line="223" w:lineRule="auto"/>
            </w:pPr>
            <w:r>
              <w:rPr>
                <w:rFonts w:ascii="Times New Roman" w:hAnsi="Times New Roman"/>
                <w:sz w:val="12"/>
              </w:rPr>
              <w:t>Deut. 28:10</w:t>
            </w:r>
          </w:p>
        </w:tc>
        <w:tc>
          <w:tcPr>
            <w:tcW w:type="dxa" w:w="3561"/>
            <w:vAlign w:val="top"/>
          </w:tcPr>
          <w:p>
            <w:pPr>
              <w:spacing w:after="0" w:line="223" w:lineRule="auto"/>
            </w:pPr>
            <w:r>
              <w:rPr>
                <w:rFonts w:ascii="Times New Roman" w:hAnsi="Times New Roman"/>
                <w:sz w:val="12"/>
              </w:rPr>
              <w:t>Name called upon Israel</w:t>
            </w:r>
          </w:p>
        </w:tc>
        <w:tc>
          <w:tcPr>
            <w:tcW w:type="dxa" w:w="3561"/>
            <w:vAlign w:val="top"/>
          </w:tcPr>
          <w:p>
            <w:pPr>
              <w:spacing w:after="0" w:line="223" w:lineRule="auto"/>
            </w:pPr>
            <w:r>
              <w:rPr>
                <w:rFonts w:ascii="Times New Roman" w:hAnsi="Times New Roman"/>
                <w:sz w:val="12"/>
              </w:rPr>
              <w:t>Ownership/representation.</w:t>
            </w:r>
          </w:p>
        </w:tc>
      </w:tr>
      <w:tr>
        <w:tc>
          <w:tcPr>
            <w:tcW w:type="dxa" w:w="3561"/>
            <w:vAlign w:val="top"/>
          </w:tcPr>
          <w:p>
            <w:pPr>
              <w:spacing w:after="0" w:line="223" w:lineRule="auto"/>
            </w:pPr>
            <w:r>
              <w:rPr>
                <w:rFonts w:ascii="Times New Roman" w:hAnsi="Times New Roman"/>
                <w:sz w:val="12"/>
              </w:rPr>
              <w:t>Deut. 28:22</w:t>
            </w:r>
          </w:p>
        </w:tc>
        <w:tc>
          <w:tcPr>
            <w:tcW w:type="dxa" w:w="3561"/>
            <w:vAlign w:val="top"/>
          </w:tcPr>
          <w:p>
            <w:pPr>
              <w:spacing w:after="0" w:line="223" w:lineRule="auto"/>
            </w:pPr>
            <w:r>
              <w:rPr>
                <w:rFonts w:ascii="Times New Roman" w:hAnsi="Times New Roman"/>
                <w:sz w:val="12"/>
              </w:rPr>
              <w:t>disease terms</w:t>
            </w:r>
          </w:p>
        </w:tc>
        <w:tc>
          <w:tcPr>
            <w:tcW w:type="dxa" w:w="3561"/>
            <w:vAlign w:val="top"/>
          </w:tcPr>
          <w:p>
            <w:pPr>
              <w:spacing w:after="0" w:line="223" w:lineRule="auto"/>
            </w:pPr>
            <w:r>
              <w:rPr>
                <w:rFonts w:ascii="Times New Roman" w:hAnsi="Times New Roman"/>
                <w:sz w:val="12"/>
              </w:rPr>
              <w:t>Ancient labels; exact modern diagnoses uncertain.</w:t>
            </w:r>
          </w:p>
        </w:tc>
      </w:tr>
      <w:tr>
        <w:tc>
          <w:tcPr>
            <w:tcW w:type="dxa" w:w="3561"/>
            <w:vAlign w:val="top"/>
          </w:tcPr>
          <w:p>
            <w:pPr>
              <w:spacing w:after="0" w:line="223" w:lineRule="auto"/>
            </w:pPr>
            <w:r>
              <w:rPr>
                <w:rFonts w:ascii="Times New Roman" w:hAnsi="Times New Roman"/>
                <w:sz w:val="12"/>
              </w:rPr>
              <w:t>Deut. 28:23–24</w:t>
            </w:r>
          </w:p>
        </w:tc>
        <w:tc>
          <w:tcPr>
            <w:tcW w:type="dxa" w:w="3561"/>
            <w:vAlign w:val="top"/>
          </w:tcPr>
          <w:p>
            <w:pPr>
              <w:spacing w:after="0" w:line="223" w:lineRule="auto"/>
            </w:pPr>
            <w:r>
              <w:rPr>
                <w:rFonts w:ascii="Times New Roman" w:hAnsi="Times New Roman"/>
                <w:sz w:val="12"/>
              </w:rPr>
              <w:t>bronze heaven / iron earth</w:t>
            </w:r>
          </w:p>
        </w:tc>
        <w:tc>
          <w:tcPr>
            <w:tcW w:type="dxa" w:w="3561"/>
            <w:vAlign w:val="top"/>
          </w:tcPr>
          <w:p>
            <w:pPr>
              <w:spacing w:after="0" w:line="223" w:lineRule="auto"/>
            </w:pPr>
            <w:r>
              <w:rPr>
                <w:rFonts w:ascii="Times New Roman" w:hAnsi="Times New Roman"/>
                <w:sz w:val="12"/>
              </w:rPr>
              <w:t>Drought imagery.</w:t>
            </w:r>
          </w:p>
        </w:tc>
      </w:tr>
      <w:tr>
        <w:tc>
          <w:tcPr>
            <w:tcW w:type="dxa" w:w="3561"/>
            <w:vAlign w:val="top"/>
          </w:tcPr>
          <w:p>
            <w:pPr>
              <w:spacing w:after="0" w:line="223" w:lineRule="auto"/>
            </w:pPr>
            <w:r>
              <w:rPr>
                <w:rFonts w:ascii="Times New Roman" w:hAnsi="Times New Roman"/>
                <w:sz w:val="12"/>
              </w:rPr>
              <w:t>Deut. 28:27</w:t>
            </w:r>
          </w:p>
        </w:tc>
        <w:tc>
          <w:tcPr>
            <w:tcW w:type="dxa" w:w="3561"/>
            <w:vAlign w:val="top"/>
          </w:tcPr>
          <w:p>
            <w:pPr>
              <w:spacing w:after="0" w:line="223" w:lineRule="auto"/>
            </w:pPr>
            <w:r>
              <w:rPr>
                <w:rFonts w:ascii="Times New Roman" w:hAnsi="Times New Roman"/>
                <w:sz w:val="12"/>
              </w:rPr>
              <w:t>ophalim</w:t>
            </w:r>
          </w:p>
        </w:tc>
        <w:tc>
          <w:tcPr>
            <w:tcW w:type="dxa" w:w="3561"/>
            <w:vAlign w:val="top"/>
          </w:tcPr>
          <w:p>
            <w:pPr>
              <w:spacing w:after="0" w:line="223" w:lineRule="auto"/>
            </w:pPr>
            <w:r>
              <w:rPr>
                <w:rFonts w:ascii="Times New Roman" w:hAnsi="Times New Roman"/>
                <w:sz w:val="12"/>
              </w:rPr>
              <w:t>Tumors/swellings; exact disease uncertain.</w:t>
            </w:r>
          </w:p>
        </w:tc>
      </w:tr>
      <w:tr>
        <w:tc>
          <w:tcPr>
            <w:tcW w:type="dxa" w:w="3561"/>
            <w:vAlign w:val="top"/>
          </w:tcPr>
          <w:p>
            <w:pPr>
              <w:spacing w:after="0" w:line="223" w:lineRule="auto"/>
            </w:pPr>
            <w:r>
              <w:rPr>
                <w:rFonts w:ascii="Times New Roman" w:hAnsi="Times New Roman"/>
                <w:sz w:val="12"/>
              </w:rPr>
              <w:t>Deut. 28:36–37</w:t>
            </w:r>
          </w:p>
        </w:tc>
        <w:tc>
          <w:tcPr>
            <w:tcW w:type="dxa" w:w="3561"/>
            <w:vAlign w:val="top"/>
          </w:tcPr>
          <w:p>
            <w:pPr>
              <w:spacing w:after="0" w:line="223" w:lineRule="auto"/>
            </w:pPr>
            <w:r>
              <w:rPr>
                <w:rFonts w:ascii="Times New Roman" w:hAnsi="Times New Roman"/>
                <w:sz w:val="12"/>
              </w:rPr>
              <w:t>exile/byword</w:t>
            </w:r>
          </w:p>
        </w:tc>
        <w:tc>
          <w:tcPr>
            <w:tcW w:type="dxa" w:w="3561"/>
            <w:vAlign w:val="top"/>
          </w:tcPr>
          <w:p>
            <w:pPr>
              <w:spacing w:after="0" w:line="223" w:lineRule="auto"/>
            </w:pPr>
            <w:r>
              <w:rPr>
                <w:rFonts w:ascii="Times New Roman" w:hAnsi="Times New Roman"/>
                <w:sz w:val="12"/>
              </w:rPr>
              <w:t>Assyrian/Babylonian and later patterns.</w:t>
            </w:r>
          </w:p>
        </w:tc>
      </w:tr>
      <w:tr>
        <w:tc>
          <w:tcPr>
            <w:tcW w:type="dxa" w:w="3561"/>
            <w:vAlign w:val="top"/>
          </w:tcPr>
          <w:p>
            <w:pPr>
              <w:spacing w:after="0" w:line="223" w:lineRule="auto"/>
            </w:pPr>
            <w:r>
              <w:rPr>
                <w:rFonts w:ascii="Times New Roman" w:hAnsi="Times New Roman"/>
                <w:sz w:val="12"/>
              </w:rPr>
              <w:t>Deut. 28:43–44</w:t>
            </w:r>
          </w:p>
        </w:tc>
        <w:tc>
          <w:tcPr>
            <w:tcW w:type="dxa" w:w="3561"/>
            <w:vAlign w:val="top"/>
          </w:tcPr>
          <w:p>
            <w:pPr>
              <w:spacing w:after="0" w:line="223" w:lineRule="auto"/>
            </w:pPr>
            <w:r>
              <w:rPr>
                <w:rFonts w:ascii="Times New Roman" w:hAnsi="Times New Roman"/>
                <w:sz w:val="12"/>
              </w:rPr>
              <w:t>foreigner head / Israel tail</w:t>
            </w:r>
          </w:p>
        </w:tc>
        <w:tc>
          <w:tcPr>
            <w:tcW w:type="dxa" w:w="3561"/>
            <w:vAlign w:val="top"/>
          </w:tcPr>
          <w:p>
            <w:pPr>
              <w:spacing w:after="0" w:line="223" w:lineRule="auto"/>
            </w:pPr>
            <w:r>
              <w:rPr>
                <w:rFonts w:ascii="Times New Roman" w:hAnsi="Times New Roman"/>
                <w:sz w:val="12"/>
              </w:rPr>
              <w:t>Blessing reversal.</w:t>
            </w:r>
          </w:p>
        </w:tc>
      </w:tr>
      <w:tr>
        <w:tc>
          <w:tcPr>
            <w:tcW w:type="dxa" w:w="3561"/>
            <w:vAlign w:val="top"/>
          </w:tcPr>
          <w:p>
            <w:pPr>
              <w:spacing w:after="0" w:line="223" w:lineRule="auto"/>
            </w:pPr>
            <w:r>
              <w:rPr>
                <w:rFonts w:ascii="Times New Roman" w:hAnsi="Times New Roman"/>
                <w:sz w:val="12"/>
              </w:rPr>
              <w:t>Deut. 28:47</w:t>
            </w:r>
          </w:p>
        </w:tc>
        <w:tc>
          <w:tcPr>
            <w:tcW w:type="dxa" w:w="3561"/>
            <w:vAlign w:val="top"/>
          </w:tcPr>
          <w:p>
            <w:pPr>
              <w:spacing w:after="0" w:line="223" w:lineRule="auto"/>
            </w:pPr>
            <w:r>
              <w:rPr>
                <w:rFonts w:ascii="Times New Roman" w:hAnsi="Times New Roman"/>
                <w:sz w:val="12"/>
              </w:rPr>
              <w:t>joy and gladness</w:t>
            </w:r>
          </w:p>
        </w:tc>
        <w:tc>
          <w:tcPr>
            <w:tcW w:type="dxa" w:w="3561"/>
            <w:vAlign w:val="top"/>
          </w:tcPr>
          <w:p>
            <w:pPr>
              <w:spacing w:after="0" w:line="223" w:lineRule="auto"/>
            </w:pPr>
            <w:r>
              <w:rPr>
                <w:rFonts w:ascii="Times New Roman" w:hAnsi="Times New Roman"/>
                <w:sz w:val="12"/>
              </w:rPr>
              <w:t>Service quality explicitly judged.</w:t>
            </w:r>
          </w:p>
        </w:tc>
      </w:tr>
      <w:tr>
        <w:tc>
          <w:tcPr>
            <w:tcW w:type="dxa" w:w="3561"/>
            <w:vAlign w:val="top"/>
          </w:tcPr>
          <w:p>
            <w:pPr>
              <w:spacing w:after="0" w:line="223" w:lineRule="auto"/>
            </w:pPr>
            <w:r>
              <w:rPr>
                <w:rFonts w:ascii="Times New Roman" w:hAnsi="Times New Roman"/>
                <w:sz w:val="12"/>
              </w:rPr>
              <w:t>Deut. 28:49</w:t>
            </w:r>
          </w:p>
        </w:tc>
        <w:tc>
          <w:tcPr>
            <w:tcW w:type="dxa" w:w="3561"/>
            <w:vAlign w:val="top"/>
          </w:tcPr>
          <w:p>
            <w:pPr>
              <w:spacing w:after="0" w:line="223" w:lineRule="auto"/>
            </w:pPr>
            <w:r>
              <w:rPr>
                <w:rFonts w:ascii="Times New Roman" w:hAnsi="Times New Roman"/>
                <w:sz w:val="12"/>
              </w:rPr>
              <w:t>nation from far</w:t>
            </w:r>
          </w:p>
        </w:tc>
        <w:tc>
          <w:tcPr>
            <w:tcW w:type="dxa" w:w="3561"/>
            <w:vAlign w:val="top"/>
          </w:tcPr>
          <w:p>
            <w:pPr>
              <w:spacing w:after="0" w:line="223" w:lineRule="auto"/>
            </w:pPr>
            <w:r>
              <w:rPr>
                <w:rFonts w:ascii="Times New Roman" w:hAnsi="Times New Roman"/>
                <w:sz w:val="12"/>
              </w:rPr>
              <w:t>Not named; multiple historical applications possible.</w:t>
            </w:r>
          </w:p>
        </w:tc>
      </w:tr>
      <w:tr>
        <w:tc>
          <w:tcPr>
            <w:tcW w:type="dxa" w:w="3561"/>
            <w:vAlign w:val="top"/>
          </w:tcPr>
          <w:p>
            <w:pPr>
              <w:spacing w:after="0" w:line="223" w:lineRule="auto"/>
            </w:pPr>
            <w:r>
              <w:rPr>
                <w:rFonts w:ascii="Times New Roman" w:hAnsi="Times New Roman"/>
                <w:sz w:val="12"/>
              </w:rPr>
              <w:t>Deut. 28:53–57</w:t>
            </w:r>
          </w:p>
        </w:tc>
        <w:tc>
          <w:tcPr>
            <w:tcW w:type="dxa" w:w="3561"/>
            <w:vAlign w:val="top"/>
          </w:tcPr>
          <w:p>
            <w:pPr>
              <w:spacing w:after="0" w:line="223" w:lineRule="auto"/>
            </w:pPr>
            <w:r>
              <w:rPr>
                <w:rFonts w:ascii="Times New Roman" w:hAnsi="Times New Roman"/>
                <w:sz w:val="12"/>
              </w:rPr>
              <w:t>siege cannibalism</w:t>
            </w:r>
          </w:p>
        </w:tc>
        <w:tc>
          <w:tcPr>
            <w:tcW w:type="dxa" w:w="3561"/>
            <w:vAlign w:val="top"/>
          </w:tcPr>
          <w:p>
            <w:pPr>
              <w:spacing w:after="0" w:line="223" w:lineRule="auto"/>
            </w:pPr>
            <w:r>
              <w:rPr>
                <w:rFonts w:ascii="Times New Roman" w:hAnsi="Times New Roman"/>
                <w:sz w:val="12"/>
              </w:rPr>
              <w:t>Compare 2 Kings 6; Lam. 2:20; 4:10; Josephus AD 70.</w:t>
            </w:r>
          </w:p>
        </w:tc>
      </w:tr>
      <w:tr>
        <w:tc>
          <w:tcPr>
            <w:tcW w:type="dxa" w:w="3561"/>
            <w:vAlign w:val="top"/>
          </w:tcPr>
          <w:p>
            <w:pPr>
              <w:spacing w:after="0" w:line="223" w:lineRule="auto"/>
            </w:pPr>
            <w:r>
              <w:rPr>
                <w:rFonts w:ascii="Times New Roman" w:hAnsi="Times New Roman"/>
                <w:sz w:val="12"/>
              </w:rPr>
              <w:t>Deut. 28:58</w:t>
            </w:r>
          </w:p>
        </w:tc>
        <w:tc>
          <w:tcPr>
            <w:tcW w:type="dxa" w:w="3561"/>
            <w:vAlign w:val="top"/>
          </w:tcPr>
          <w:p>
            <w:pPr>
              <w:spacing w:after="0" w:line="223" w:lineRule="auto"/>
            </w:pPr>
            <w:r>
              <w:rPr>
                <w:rFonts w:ascii="Times New Roman" w:hAnsi="Times New Roman"/>
                <w:sz w:val="12"/>
              </w:rPr>
              <w:t>glorious and fearful Name</w:t>
            </w:r>
          </w:p>
        </w:tc>
        <w:tc>
          <w:tcPr>
            <w:tcW w:type="dxa" w:w="3561"/>
            <w:vAlign w:val="top"/>
          </w:tcPr>
          <w:p>
            <w:pPr>
              <w:spacing w:after="0" w:line="223" w:lineRule="auto"/>
            </w:pPr>
            <w:r>
              <w:rPr>
                <w:rFonts w:ascii="Times New Roman" w:hAnsi="Times New Roman"/>
                <w:sz w:val="12"/>
              </w:rPr>
              <w:t>Yahweh thy God.</w:t>
            </w:r>
          </w:p>
        </w:tc>
      </w:tr>
      <w:tr>
        <w:tc>
          <w:tcPr>
            <w:tcW w:type="dxa" w:w="3561"/>
            <w:vAlign w:val="top"/>
          </w:tcPr>
          <w:p>
            <w:pPr>
              <w:spacing w:after="0" w:line="223" w:lineRule="auto"/>
            </w:pPr>
            <w:r>
              <w:rPr>
                <w:rFonts w:ascii="Times New Roman" w:hAnsi="Times New Roman"/>
                <w:sz w:val="12"/>
              </w:rPr>
              <w:t>Deut. 28:61</w:t>
            </w:r>
          </w:p>
        </w:tc>
        <w:tc>
          <w:tcPr>
            <w:tcW w:type="dxa" w:w="3561"/>
            <w:vAlign w:val="top"/>
          </w:tcPr>
          <w:p>
            <w:pPr>
              <w:spacing w:after="0" w:line="223" w:lineRule="auto"/>
            </w:pPr>
            <w:r>
              <w:rPr>
                <w:rFonts w:ascii="Times New Roman" w:hAnsi="Times New Roman"/>
                <w:sz w:val="12"/>
              </w:rPr>
              <w:t>not written diseases</w:t>
            </w:r>
          </w:p>
        </w:tc>
        <w:tc>
          <w:tcPr>
            <w:tcW w:type="dxa" w:w="3561"/>
            <w:vAlign w:val="top"/>
          </w:tcPr>
          <w:p>
            <w:pPr>
              <w:spacing w:after="0" w:line="223" w:lineRule="auto"/>
            </w:pPr>
            <w:r>
              <w:rPr>
                <w:rFonts w:ascii="Times New Roman" w:hAnsi="Times New Roman"/>
                <w:sz w:val="12"/>
              </w:rPr>
              <w:t>Open-ended sanction.</w:t>
            </w:r>
          </w:p>
        </w:tc>
      </w:tr>
      <w:tr>
        <w:tc>
          <w:tcPr>
            <w:tcW w:type="dxa" w:w="3561"/>
            <w:vAlign w:val="top"/>
          </w:tcPr>
          <w:p>
            <w:pPr>
              <w:spacing w:after="0" w:line="223" w:lineRule="auto"/>
            </w:pPr>
            <w:r>
              <w:rPr>
                <w:rFonts w:ascii="Times New Roman" w:hAnsi="Times New Roman"/>
                <w:sz w:val="12"/>
              </w:rPr>
              <w:t>Deut. 28:64</w:t>
            </w:r>
          </w:p>
        </w:tc>
        <w:tc>
          <w:tcPr>
            <w:tcW w:type="dxa" w:w="3561"/>
            <w:vAlign w:val="top"/>
          </w:tcPr>
          <w:p>
            <w:pPr>
              <w:spacing w:after="0" w:line="223" w:lineRule="auto"/>
            </w:pPr>
            <w:r>
              <w:rPr>
                <w:rFonts w:ascii="Times New Roman" w:hAnsi="Times New Roman"/>
                <w:sz w:val="12"/>
              </w:rPr>
              <w:t>global scattering</w:t>
            </w:r>
          </w:p>
        </w:tc>
        <w:tc>
          <w:tcPr>
            <w:tcW w:type="dxa" w:w="3561"/>
            <w:vAlign w:val="top"/>
          </w:tcPr>
          <w:p>
            <w:pPr>
              <w:spacing w:after="0" w:line="223" w:lineRule="auto"/>
            </w:pPr>
            <w:r>
              <w:rPr>
                <w:rFonts w:ascii="Times New Roman" w:hAnsi="Times New Roman"/>
                <w:sz w:val="12"/>
              </w:rPr>
              <w:t>Long diaspora correspondence.</w:t>
            </w:r>
          </w:p>
        </w:tc>
      </w:tr>
      <w:tr>
        <w:tc>
          <w:tcPr>
            <w:tcW w:type="dxa" w:w="3561"/>
            <w:vAlign w:val="top"/>
          </w:tcPr>
          <w:p>
            <w:pPr>
              <w:spacing w:after="0" w:line="223" w:lineRule="auto"/>
            </w:pPr>
            <w:r>
              <w:rPr>
                <w:rFonts w:ascii="Times New Roman" w:hAnsi="Times New Roman"/>
                <w:sz w:val="12"/>
              </w:rPr>
              <w:t>Deut. 28:65</w:t>
            </w:r>
          </w:p>
        </w:tc>
        <w:tc>
          <w:tcPr>
            <w:tcW w:type="dxa" w:w="3561"/>
            <w:vAlign w:val="top"/>
          </w:tcPr>
          <w:p>
            <w:pPr>
              <w:spacing w:after="0" w:line="223" w:lineRule="auto"/>
            </w:pPr>
            <w:r>
              <w:rPr>
                <w:rFonts w:ascii="Times New Roman" w:hAnsi="Times New Roman"/>
                <w:sz w:val="12"/>
              </w:rPr>
              <w:t>nephesh</w:t>
            </w:r>
          </w:p>
        </w:tc>
        <w:tc>
          <w:tcPr>
            <w:tcW w:type="dxa" w:w="3561"/>
            <w:vAlign w:val="top"/>
          </w:tcPr>
          <w:p>
            <w:pPr>
              <w:spacing w:after="0" w:line="223" w:lineRule="auto"/>
            </w:pPr>
            <w:r>
              <w:rPr>
                <w:rFonts w:ascii="Times New Roman" w:hAnsi="Times New Roman"/>
                <w:sz w:val="12"/>
              </w:rPr>
              <w:t>Life/self/person.</w:t>
            </w:r>
          </w:p>
        </w:tc>
      </w:tr>
      <w:tr>
        <w:tc>
          <w:tcPr>
            <w:tcW w:type="dxa" w:w="3561"/>
            <w:vAlign w:val="top"/>
          </w:tcPr>
          <w:p>
            <w:pPr>
              <w:spacing w:after="0" w:line="223" w:lineRule="auto"/>
            </w:pPr>
            <w:r>
              <w:rPr>
                <w:rFonts w:ascii="Times New Roman" w:hAnsi="Times New Roman"/>
                <w:sz w:val="12"/>
              </w:rPr>
              <w:t>Deut. 28:68</w:t>
            </w:r>
          </w:p>
        </w:tc>
        <w:tc>
          <w:tcPr>
            <w:tcW w:type="dxa" w:w="3561"/>
            <w:vAlign w:val="top"/>
          </w:tcPr>
          <w:p>
            <w:pPr>
              <w:spacing w:after="0" w:line="223" w:lineRule="auto"/>
            </w:pPr>
            <w:r>
              <w:rPr>
                <w:rFonts w:ascii="Times New Roman" w:hAnsi="Times New Roman"/>
                <w:sz w:val="12"/>
              </w:rPr>
              <w:t>Egypt in ships</w:t>
            </w:r>
          </w:p>
        </w:tc>
        <w:tc>
          <w:tcPr>
            <w:tcW w:type="dxa" w:w="3561"/>
            <w:vAlign w:val="top"/>
          </w:tcPr>
          <w:p>
            <w:pPr>
              <w:spacing w:after="0" w:line="223" w:lineRule="auto"/>
            </w:pPr>
            <w:r>
              <w:rPr>
                <w:rFonts w:ascii="Times New Roman" w:hAnsi="Times New Roman"/>
                <w:sz w:val="12"/>
              </w:rPr>
              <w:t>Exact historical fulfilment disputed; Exodus reversal clear.</w:t>
            </w:r>
          </w:p>
        </w:tc>
      </w:tr>
      <w:tr>
        <w:tc>
          <w:tcPr>
            <w:tcW w:type="dxa" w:w="3561"/>
            <w:vAlign w:val="top"/>
          </w:tcPr>
          <w:p>
            <w:pPr>
              <w:spacing w:after="0" w:line="223" w:lineRule="auto"/>
            </w:pPr>
            <w:r>
              <w:rPr>
                <w:rFonts w:ascii="Times New Roman" w:hAnsi="Times New Roman"/>
                <w:sz w:val="12"/>
              </w:rPr>
              <w:t>Deut. 17:16 vs 28:68</w:t>
            </w:r>
          </w:p>
        </w:tc>
        <w:tc>
          <w:tcPr>
            <w:tcW w:type="dxa" w:w="3561"/>
            <w:vAlign w:val="top"/>
          </w:tcPr>
          <w:p>
            <w:pPr>
              <w:spacing w:after="0" w:line="223" w:lineRule="auto"/>
            </w:pPr>
            <w:r>
              <w:rPr>
                <w:rFonts w:ascii="Times New Roman" w:hAnsi="Times New Roman"/>
                <w:sz w:val="12"/>
              </w:rPr>
              <w:t>voluntary return vs forced judgment</w:t>
            </w:r>
          </w:p>
        </w:tc>
        <w:tc>
          <w:tcPr>
            <w:tcW w:type="dxa" w:w="3561"/>
            <w:vAlign w:val="top"/>
          </w:tcPr>
          <w:p>
            <w:pPr>
              <w:spacing w:after="0" w:line="223" w:lineRule="auto"/>
            </w:pPr>
            <w:r>
              <w:rPr>
                <w:rFonts w:ascii="Times New Roman" w:hAnsi="Times New Roman"/>
                <w:sz w:val="12"/>
              </w:rPr>
              <w:t>No contradiction.</w:t>
            </w:r>
          </w:p>
        </w:tc>
      </w:tr>
      <w:tr>
        <w:tc>
          <w:tcPr>
            <w:tcW w:type="dxa" w:w="3561"/>
            <w:vAlign w:val="top"/>
          </w:tcPr>
          <w:p>
            <w:pPr>
              <w:spacing w:after="0" w:line="223" w:lineRule="auto"/>
            </w:pPr>
            <w:r>
              <w:rPr>
                <w:rFonts w:ascii="Times New Roman" w:hAnsi="Times New Roman"/>
                <w:sz w:val="12"/>
              </w:rPr>
              <w:t>Hebrew numbering</w:t>
            </w:r>
          </w:p>
        </w:tc>
        <w:tc>
          <w:tcPr>
            <w:tcW w:type="dxa" w:w="3561"/>
            <w:vAlign w:val="top"/>
          </w:tcPr>
          <w:p>
            <w:pPr>
              <w:spacing w:after="0" w:line="223" w:lineRule="auto"/>
            </w:pPr>
            <w:r>
              <w:rPr>
                <w:rFonts w:ascii="Times New Roman" w:hAnsi="Times New Roman"/>
                <w:sz w:val="12"/>
              </w:rPr>
              <w:t>KJV 29:1 often = Heb. 28:69</w:t>
            </w:r>
          </w:p>
        </w:tc>
        <w:tc>
          <w:tcPr>
            <w:tcW w:type="dxa" w:w="3561"/>
            <w:vAlign w:val="top"/>
          </w:tcPr>
          <w:p>
            <w:pPr>
              <w:spacing w:after="0" w:line="223" w:lineRule="auto"/>
            </w:pPr>
            <w:r>
              <w:rPr>
                <w:rFonts w:ascii="Times New Roman" w:hAnsi="Times New Roman"/>
                <w:sz w:val="12"/>
              </w:rPr>
              <w:t>Numbering difference.</w:t>
            </w:r>
          </w:p>
        </w:tc>
      </w:tr>
    </w:tbl>
    <w:p>
      <w:pPr>
        <w:pStyle w:val="Heading1"/>
      </w:pPr>
      <w:r>
        <w:t>RESIDUAL UNCERTAINTIES</w:t>
      </w:r>
    </w:p>
    <w:p>
      <w:pPr/>
      <w:r>
        <w:rPr>
          <w:i w:val="0"/>
        </w:rPr>
        <w:t>The identities behind several disease terms, the nation of verse 49, the precise historical sequence intended by the siege language, and the exact implementation of verse 68 remain debated. Mansfield’s extensive historical fulfilment notes are valuable as correlations, but they are not presented as if every verse possesses one exclusive later fulfilment.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