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29</w:t>
      </w:r>
    </w:p>
    <w:p>
      <w:pPr>
        <w:pStyle w:val="Subtitle"/>
      </w:pPr>
      <w:r>
        <w:t>COVENANT IN MOAB • EXPERIENCE WITHOUT SPIRITUAL PERCEPTION • ALL CLASSES STAND BEFORE YAHWEH • FUTURE GENERATIONS INCLUDED • ROOT OF POISON AND WORMWOOD • PRESUMPTION EXPOSED • THE RUINED LAND AS WITNESS • SECRET AND REVEALED THINGS</w:t>
      </w:r>
    </w:p>
    <w:p>
      <w:pPr/>
      <w:r>
        <w:rPr>
          <w:i/>
        </w:rPr>
        <w:t>H. P. Mansfield Bible notes — checked and arranged in verse-by-verse Expositor style</w:t>
      </w:r>
    </w:p>
    <w:p>
      <w:pPr/>
      <w:r>
        <w:rPr>
          <w:i w:val="0"/>
        </w:rPr>
        <w:t>Source: HPB 04-Deu01-Jud04.PDF principally p. 46; cross-checked with Mansfield’s Deuteronomy Expositor Chapter 29 and the covenant material in Exodus 24.</w:t>
      </w:r>
    </w:p>
    <w:p>
      <w:pPr>
        <w:pStyle w:val="Heading1"/>
      </w:pPr>
      <w:r>
        <w:t>CHAPTER OVERVIEW</w:t>
      </w:r>
    </w:p>
    <w:p>
      <w:pPr/>
      <w:r>
        <w:rPr>
          <w:i w:val="0"/>
        </w:rPr>
        <w:t>Deuteronomy 29 renews and applies the covenant to the generation standing in Moab. The chapter distinguishes this Moab covenant occasion from Horeb while preserving continuity with the law and oath already given.</w:t>
      </w:r>
    </w:p>
    <w:p>
      <w:pPr/>
      <w:r>
        <w:rPr>
          <w:i w:val="0"/>
        </w:rPr>
        <w:t>The gravest warning is against private presumption: a person may hear covenant warnings and still congratulate himself that peace is guaranteed while deliberately walking in stubbornness. Covenant membership never makes rebellion safe.</w:t>
      </w:r>
    </w:p>
    <w:p>
      <w:pPr>
        <w:pStyle w:val="Heading1"/>
      </w:pPr>
      <w:r>
        <w:t>THE MOAB COVENANT — DEUTERONOMY 29:1</w:t>
      </w:r>
    </w:p>
    <w:p>
      <w:pPr>
        <w:pStyle w:val="Heading2"/>
      </w:pPr>
      <w:r>
        <w:t>Deuteronomy 29:1 — beside the covenant at Horeb</w:t>
      </w:r>
    </w:p>
    <w:p>
      <w:pPr/>
      <w:r>
        <w:rPr>
          <w:i w:val="0"/>
        </w:rPr>
        <w:t>KJV introduces “the words of the covenant” commanded in Moab “beside the covenant which he made with them in Horeb.”</w:t>
      </w:r>
    </w:p>
    <w:p>
      <w:pPr/>
      <w:r>
        <w:rPr>
          <w:i w:val="0"/>
        </w:rPr>
        <w:t>The verse clearly distinguishes the Moab covenant occasion from Horeb. It is reasonable to call it covenant renewal or reaffirmation, but Mansfield’s claim that Scripture permits only two covenants and therefore this cannot in any sense be an additional covenant formulation is a theological simplification rather than a conclusion demanded by the wording.</w:t>
      </w:r>
    </w:p>
    <w:p>
      <w:pPr>
        <w:pStyle w:val="Heading2"/>
      </w:pPr>
      <w:r>
        <w:t>Chapter-numbering note</w:t>
      </w:r>
    </w:p>
    <w:p>
      <w:pPr/>
      <w:r>
        <w:rPr>
          <w:i w:val="0"/>
        </w:rPr>
        <w:t>In many Hebrew editions this sentence is numbered Deuteronomy 28:69 rather than 29:1.</w:t>
      </w:r>
    </w:p>
    <w:p>
      <w:pPr/>
      <w:r>
        <w:rPr>
          <w:i w:val="0"/>
        </w:rPr>
        <w:t>The difference is traditional chapter numbering, not a different biblical sentence.</w:t>
      </w:r>
    </w:p>
    <w:p>
      <w:pPr>
        <w:pStyle w:val="Heading1"/>
      </w:pPr>
      <w:r>
        <w:t>WHAT ISRAEL HAS SEEN — DEUTERONOMY 29:2–9</w:t>
      </w:r>
    </w:p>
    <w:p>
      <w:pPr>
        <w:pStyle w:val="Heading2"/>
      </w:pPr>
      <w:r>
        <w:t>Deuteronomy 29:2–3 — signs, trials and wonders</w:t>
      </w:r>
    </w:p>
    <w:p>
      <w:pPr/>
      <w:r>
        <w:rPr>
          <w:i w:val="0"/>
        </w:rPr>
        <w:t>Moses appeals to the nation’s experience in Egypt: great trials, signs and wonders were seen with their eyes.</w:t>
      </w:r>
    </w:p>
    <w:p>
      <w:pPr>
        <w:pStyle w:val="Heading2"/>
      </w:pPr>
      <w:r>
        <w:t>Deuteronomy 29:4 — heart, eyes and ears not yet given</w:t>
      </w:r>
    </w:p>
    <w:p>
      <w:pPr/>
      <w:r>
        <w:rPr>
          <w:i w:val="0"/>
        </w:rPr>
        <w:t>Despite the visible history, Yahweh had not given Israel a heart to know, eyes to see and ears to hear “unto this day.”</w:t>
      </w:r>
    </w:p>
    <w:p>
      <w:pPr/>
      <w:r>
        <w:rPr>
          <w:i w:val="0"/>
        </w:rPr>
        <w:t>The verse stresses that true covenant perception is itself dependent upon Divine enabling, while the surrounding exhortations still hold Israel responsible to hear and obey. It should not be reduced either to arbitrary Divine prevention or to purely self-generated insight.</w:t>
      </w:r>
    </w:p>
    <w:p>
      <w:pPr>
        <w:pStyle w:val="Heading2"/>
      </w:pPr>
      <w:r>
        <w:t>Deuteronomy 29:5 — preserved clothing and footwear</w:t>
      </w:r>
    </w:p>
    <w:p>
      <w:pPr/>
      <w:r>
        <w:rPr>
          <w:i w:val="0"/>
        </w:rPr>
        <w:t>Forty years of wilderness preservation are recalled: garments did not wear out and sandals did not fail.</w:t>
      </w:r>
    </w:p>
    <w:p>
      <w:pPr/>
      <w:r>
        <w:rPr>
          <w:i w:val="0"/>
        </w:rPr>
        <w:t>Compare Deuteronomy 8:4.</w:t>
      </w:r>
    </w:p>
    <w:p>
      <w:pPr>
        <w:pStyle w:val="Heading2"/>
      </w:pPr>
      <w:r>
        <w:t>Deuteronomy 29:6 — no bread, wine or strong drink</w:t>
      </w:r>
    </w:p>
    <w:p>
      <w:pPr/>
      <w:r>
        <w:rPr>
          <w:i w:val="0"/>
        </w:rPr>
        <w:t>Moses says Israel did not eat bread or drink wine or `shekar` during the wilderness dependence so that they might know Yahweh as their God.</w:t>
      </w:r>
    </w:p>
    <w:p>
      <w:pPr/>
      <w:r>
        <w:rPr>
          <w:i w:val="0"/>
        </w:rPr>
        <w:t>The statement characterises miraculous dependence rather than proving that no Israelite ever consumed any ordinary grain food or drink during every moment of forty years. Manna itself is called bread elsewhere, and Deuteronomy 2 records permitted purchase of food and water.</w:t>
      </w:r>
    </w:p>
    <w:p>
      <w:pPr>
        <w:pStyle w:val="Heading2"/>
      </w:pPr>
      <w:r>
        <w:t>Deuteronomy 29:7–8 — Sihon and Og</w:t>
      </w:r>
    </w:p>
    <w:p>
      <w:pPr/>
      <w:r>
        <w:rPr>
          <w:i w:val="0"/>
        </w:rPr>
        <w:t>Recent victories and the east-Jordan inheritance provide immediate evidence of Yahweh’s ability to fulfil His word.</w:t>
      </w:r>
    </w:p>
    <w:p>
      <w:pPr>
        <w:pStyle w:val="Heading2"/>
      </w:pPr>
      <w:r>
        <w:t>Deuteronomy 29:9 — `sakal`</w:t>
      </w:r>
    </w:p>
    <w:p>
      <w:pPr/>
      <w:r>
        <w:rPr>
          <w:i w:val="0"/>
        </w:rPr>
        <w:t>Israel must keep and do the covenant words “that ye may prosper.” `Sakal` can carry the sense act wisely, have insight and prosper/succeed.</w:t>
      </w:r>
    </w:p>
    <w:p>
      <w:pPr/>
      <w:r>
        <w:rPr>
          <w:i w:val="0"/>
        </w:rPr>
        <w:t>The prosperity is covenantally tied to prudent obedient action, not merely possession of national status.</w:t>
      </w:r>
    </w:p>
    <w:p>
      <w:pPr>
        <w:pStyle w:val="Heading1"/>
      </w:pPr>
      <w:r>
        <w:t>EVERY CLASS AND GENERATION — DEUTERONOMY 29:10–15</w:t>
      </w:r>
    </w:p>
    <w:p>
      <w:pPr>
        <w:pStyle w:val="Heading2"/>
      </w:pPr>
      <w:r>
        <w:t>Deuteronomy 29:10–11 — all Israel stands</w:t>
      </w:r>
    </w:p>
    <w:p>
      <w:pPr/>
      <w:r>
        <w:rPr>
          <w:i w:val="0"/>
        </w:rPr>
        <w:t>Chiefs, tribes, elders, officers, men, children, wives and resident stranger—from woodcutter to water-drawer—stand before Yahweh.</w:t>
      </w:r>
    </w:p>
    <w:p>
      <w:pPr/>
      <w:r>
        <w:rPr>
          <w:i w:val="0"/>
        </w:rPr>
        <w:t>The covenant obligation crosses social rank.</w:t>
      </w:r>
    </w:p>
    <w:p>
      <w:pPr>
        <w:pStyle w:val="Heading2"/>
      </w:pPr>
      <w:r>
        <w:t>Deuteronomy 29:12 — pass into covenant and oath</w:t>
      </w:r>
    </w:p>
    <w:p>
      <w:pPr/>
      <w:r>
        <w:rPr>
          <w:i w:val="0"/>
        </w:rPr>
        <w:t>The Hebrew uses `‘abar`, pass/cross, in the phrase describing entry into covenant and oath; later in the verse the common idiom `karat berit`, cut/make a covenant, occurs.</w:t>
      </w:r>
    </w:p>
    <w:p>
      <w:pPr/>
      <w:r>
        <w:rPr>
          <w:i w:val="0"/>
        </w:rPr>
        <w:t>Mansfield builds a detailed divided-animal ceremony from these words. Genesis 15 and Jeremiah 34 show that passing between divided pieces could accompany covenants, but Deuteronomy 29 records no covenant victim or such ceremony here. The idiom itself does not prove one occurred.</w:t>
      </w:r>
    </w:p>
    <w:p>
      <w:pPr>
        <w:pStyle w:val="Heading2"/>
      </w:pPr>
      <w:r>
        <w:t>Deuteronomy 29:13 — established as Yahweh’s people</w:t>
      </w:r>
    </w:p>
    <w:p>
      <w:pPr/>
      <w:r>
        <w:rPr>
          <w:i w:val="0"/>
        </w:rPr>
        <w:t>The Moab oath reaffirms Israel’s identity under Yahweh and the oath sworn to Abraham, Isaac and Jacob.</w:t>
      </w:r>
    </w:p>
    <w:p>
      <w:pPr>
        <w:pStyle w:val="Heading2"/>
      </w:pPr>
      <w:r>
        <w:t>Deuteronomy 29:14–15 — those not here today</w:t>
      </w:r>
    </w:p>
    <w:p>
      <w:pPr/>
      <w:r>
        <w:rPr>
          <w:i w:val="0"/>
        </w:rPr>
        <w:t>The covenant is expressly made not only with the immediate assembly but with those “not here with us this day.”</w:t>
      </w:r>
    </w:p>
    <w:p>
      <w:pPr/>
      <w:r>
        <w:rPr>
          <w:i w:val="0"/>
        </w:rPr>
        <w:t>In context this naturally embraces succeeding Israelite generations. The wording should not be forced into speculative claims about pre-existent persons.</w:t>
      </w:r>
    </w:p>
    <w:p>
      <w:pPr>
        <w:pStyle w:val="Heading1"/>
      </w:pPr>
      <w:r>
        <w:t>ROOT OF POISON AND WORMWOOD — DEUTERONOMY 29:16–18</w:t>
      </w:r>
    </w:p>
    <w:p>
      <w:pPr>
        <w:pStyle w:val="Heading2"/>
      </w:pPr>
      <w:r>
        <w:t>Deuteronomy 29:16–17 — remembered idolatry</w:t>
      </w:r>
    </w:p>
    <w:p>
      <w:pPr/>
      <w:r>
        <w:rPr>
          <w:i w:val="0"/>
        </w:rPr>
        <w:t>Israel has seen the detestable idols of Egypt and the nations through which it passed.</w:t>
      </w:r>
    </w:p>
    <w:p>
      <w:pPr>
        <w:pStyle w:val="Heading2"/>
      </w:pPr>
      <w:r>
        <w:t>Deuteronomy 29:18 — hidden apostasy becomes a root</w:t>
      </w:r>
    </w:p>
    <w:p>
      <w:pPr/>
      <w:r>
        <w:rPr>
          <w:i w:val="0"/>
        </w:rPr>
        <w:t>No man, woman, family or tribe may turn from Yahweh toward other gods and become a root bearing `rosh` and `la‘anah`.</w:t>
      </w:r>
    </w:p>
    <w:p>
      <w:pPr/>
      <w:r>
        <w:rPr>
          <w:i w:val="0"/>
        </w:rPr>
        <w:t>`Rosh` in this context denotes a poisonous/bitter plant or poison; `la‘anah` is wormwood/bitter plant imagery. Mansfield’s identification of `rosh` specifically with the poppy and opium is not secure Hebrew botany and should not be treated as fact.</w:t>
      </w:r>
    </w:p>
    <w:p>
      <w:pPr>
        <w:pStyle w:val="Heading1"/>
      </w:pPr>
      <w:r>
        <w:t>THE SELF-BLESSING APOSTATE — DEUTERONOMY 29:19–21</w:t>
      </w:r>
    </w:p>
    <w:p>
      <w:pPr>
        <w:pStyle w:val="Heading2"/>
      </w:pPr>
      <w:r>
        <w:t>Deuteronomy 29:19 — stubbornness, not harmless imagination</w:t>
      </w:r>
    </w:p>
    <w:p>
      <w:pPr/>
      <w:r>
        <w:rPr>
          <w:i w:val="0"/>
        </w:rPr>
        <w:t>The person hears the oath/curse yet blesses himself, saying he will have peace while walking in `sherirut` of his heart.</w:t>
      </w:r>
    </w:p>
    <w:p>
      <w:pPr/>
      <w:r>
        <w:rPr>
          <w:i w:val="0"/>
        </w:rPr>
        <w:t>`Sherirut` means stubbornness/obstinacy. KJV “imagination” can mislead a modern reader into thinking merely of thoughts or fantasy.</w:t>
      </w:r>
    </w:p>
    <w:p>
      <w:pPr>
        <w:pStyle w:val="Heading2"/>
      </w:pPr>
      <w:r>
        <w:t>Deuteronomy 29:19 — difficult final phrase</w:t>
      </w:r>
    </w:p>
    <w:p>
      <w:pPr/>
      <w:r>
        <w:rPr>
          <w:i w:val="0"/>
        </w:rPr>
        <w:t>KJV ends “to add drunkenness to thirst.” The Hebrew phrase is obscure and has produced markedly different translations.</w:t>
      </w:r>
    </w:p>
    <w:p>
      <w:pPr/>
      <w:r>
        <w:rPr>
          <w:i w:val="0"/>
        </w:rPr>
        <w:t>Mansfield’s explanation that indulgence necessarily adds drunkenness to thirst is possible homiletic application but not a secure lexical solution to the difficult clause.</w:t>
      </w:r>
    </w:p>
    <w:p>
      <w:pPr>
        <w:pStyle w:val="Heading2"/>
      </w:pPr>
      <w:r>
        <w:t>Deuteronomy 29:20–21 — presumption judged</w:t>
      </w:r>
    </w:p>
    <w:p>
      <w:pPr/>
      <w:r>
        <w:rPr>
          <w:i w:val="0"/>
        </w:rPr>
        <w:t>Yahweh will not spare the deliberate apostate; covenant curses are applied and the person is separated for judgment.</w:t>
      </w:r>
    </w:p>
    <w:p>
      <w:pPr/>
      <w:r>
        <w:rPr>
          <w:i w:val="0"/>
        </w:rPr>
        <w:t>The danger is conscious self-deception within covenant privilege.</w:t>
      </w:r>
    </w:p>
    <w:p>
      <w:pPr>
        <w:pStyle w:val="Heading1"/>
      </w:pPr>
      <w:r>
        <w:t>THE LAND ITSELF BECOMES EVIDENCE — DEUTERONOMY 29:22–28</w:t>
      </w:r>
    </w:p>
    <w:p>
      <w:pPr>
        <w:pStyle w:val="Heading2"/>
      </w:pPr>
      <w:r>
        <w:t>Deuteronomy 29:22–23 — future generations ask why</w:t>
      </w:r>
    </w:p>
    <w:p>
      <w:pPr/>
      <w:r>
        <w:rPr>
          <w:i w:val="0"/>
        </w:rPr>
        <w:t>Children yet to arise and foreigners see a devastated land described with sulphur, salt and burning, compared with Sodom, Gomorrah, Admah and Zeboim.</w:t>
      </w:r>
    </w:p>
    <w:p>
      <w:pPr>
        <w:pStyle w:val="Heading2"/>
      </w:pPr>
      <w:r>
        <w:t>Deuteronomy 29:24–28 — the answer is covenant abandonment</w:t>
      </w:r>
    </w:p>
    <w:p>
      <w:pPr/>
      <w:r>
        <w:rPr>
          <w:i w:val="0"/>
        </w:rPr>
        <w:t>The nations ask why Yahweh acted so severely; the answer is that Israel forsook the covenant, served other gods, incurred the written curses and was uprooted into another land.</w:t>
      </w:r>
    </w:p>
    <w:p>
      <w:pPr/>
      <w:r>
        <w:rPr>
          <w:i w:val="0"/>
        </w:rPr>
        <w:t>The language supplies a covenant interpretation of national ruin rather than permission to identify every later barren feature of the land with one particular event.</w:t>
      </w:r>
    </w:p>
    <w:p>
      <w:pPr>
        <w:pStyle w:val="Heading1"/>
      </w:pPr>
      <w:r>
        <w:t>SECRET AND REVEALED THINGS — DEUTERONOMY 29:29</w:t>
      </w:r>
    </w:p>
    <w:p>
      <w:pPr>
        <w:pStyle w:val="Heading2"/>
      </w:pPr>
      <w:r>
        <w:t>Deuteronomy 29:29 — revelation is for obedience</w:t>
      </w:r>
    </w:p>
    <w:p>
      <w:pPr/>
      <w:r>
        <w:rPr>
          <w:i w:val="0"/>
        </w:rPr>
        <w:t>“The secret things belong unto Yahweh our God: but those things which are revealed belong unto us and to our children for ever, that we may do all the words of this law.”</w:t>
      </w:r>
    </w:p>
    <w:p>
      <w:pPr/>
      <w:r>
        <w:rPr>
          <w:i w:val="0"/>
        </w:rPr>
        <w:t>The verse establishes a disciplined boundary: what Yahweh has disclosed creates responsibility; speculation about what He has withheld cannot replace obedience.</w:t>
      </w:r>
    </w:p>
    <w:p>
      <w:pPr>
        <w:pStyle w:val="Heading1"/>
      </w:pPr>
      <w:r>
        <w:t>PRINCIPAL THEMES</w:t>
      </w:r>
    </w:p>
    <w:p>
      <w:pPr>
        <w:ind w:left="259" w:hanging="202"/>
      </w:pPr>
      <w:r>
        <w:rPr>
          <w:b/>
        </w:rPr>
        <w:t xml:space="preserve">• </w:t>
      </w:r>
      <w:r>
        <w:t>The Moab covenant is a distinct covenant occasion with continuity to Horeb; simplistic “only two covenants exist” arguments should not control the wording.</w:t>
      </w:r>
    </w:p>
    <w:p>
      <w:pPr>
        <w:ind w:left="259" w:hanging="202"/>
      </w:pPr>
      <w:r>
        <w:rPr>
          <w:b/>
        </w:rPr>
        <w:t xml:space="preserve">• </w:t>
      </w:r>
      <w:r>
        <w:t>Spiritual perception is presented as a Divine gift without cancelling human accountability.</w:t>
      </w:r>
    </w:p>
    <w:p>
      <w:pPr>
        <w:ind w:left="259" w:hanging="202"/>
      </w:pPr>
      <w:r>
        <w:rPr>
          <w:b/>
        </w:rPr>
        <w:t xml:space="preserve">• </w:t>
      </w:r>
      <w:r>
        <w:t>Verse 6 describes wilderness dependence and should not be pressed into a literal claim that no ordinary food was ever consumed.</w:t>
      </w:r>
    </w:p>
    <w:p>
      <w:pPr>
        <w:ind w:left="259" w:hanging="202"/>
      </w:pPr>
      <w:r>
        <w:rPr>
          <w:b/>
        </w:rPr>
        <w:t xml:space="preserve">• </w:t>
      </w:r>
      <w:r>
        <w:t>`Sakal` joins wise action and success.</w:t>
      </w:r>
    </w:p>
    <w:p>
      <w:pPr>
        <w:ind w:left="259" w:hanging="202"/>
      </w:pPr>
      <w:r>
        <w:rPr>
          <w:b/>
        </w:rPr>
        <w:t xml:space="preserve">• </w:t>
      </w:r>
      <w:r>
        <w:t>Covenant-entry idioms do not prove that a divided animal ceremony occurred in Moab.</w:t>
      </w:r>
    </w:p>
    <w:p>
      <w:pPr>
        <w:ind w:left="259" w:hanging="202"/>
      </w:pPr>
      <w:r>
        <w:rPr>
          <w:b/>
        </w:rPr>
        <w:t xml:space="preserve">• </w:t>
      </w:r>
      <w:r>
        <w:t>“Not here this day” naturally includes future generations.</w:t>
      </w:r>
    </w:p>
    <w:p>
      <w:pPr>
        <w:ind w:left="259" w:hanging="202"/>
      </w:pPr>
      <w:r>
        <w:rPr>
          <w:b/>
        </w:rPr>
        <w:t xml:space="preserve">• </w:t>
      </w:r>
      <w:r>
        <w:t>`Rosh` is poisonous/bitter plant imagery, not securely the poppy or opium.</w:t>
      </w:r>
    </w:p>
    <w:p>
      <w:pPr>
        <w:ind w:left="259" w:hanging="202"/>
      </w:pPr>
      <w:r>
        <w:rPr>
          <w:b/>
        </w:rPr>
        <w:t xml:space="preserve">• </w:t>
      </w:r>
      <w:r>
        <w:t>`Sherirut` means stubbornness/obstinacy.</w:t>
      </w:r>
    </w:p>
    <w:p>
      <w:pPr>
        <w:ind w:left="259" w:hanging="202"/>
      </w:pPr>
      <w:r>
        <w:rPr>
          <w:b/>
        </w:rPr>
        <w:t xml:space="preserve">• </w:t>
      </w:r>
      <w:r>
        <w:t>The final phrase of verse 19 is genuinely difficult and should not be given a falsely certain translation.</w:t>
      </w:r>
    </w:p>
    <w:p>
      <w:pPr>
        <w:ind w:left="259" w:hanging="202"/>
      </w:pPr>
      <w:r>
        <w:rPr>
          <w:b/>
        </w:rPr>
        <w:t xml:space="preserve">• </w:t>
      </w:r>
      <w:r>
        <w:t>Covenant ruin becomes a witness to later generations.</w:t>
      </w:r>
    </w:p>
    <w:p>
      <w:pPr>
        <w:ind w:left="259" w:hanging="202"/>
      </w:pPr>
      <w:r>
        <w:rPr>
          <w:b/>
        </w:rPr>
        <w:t xml:space="preserve">• </w:t>
      </w:r>
      <w:r>
        <w:t>Revealed truth is given in order to be done.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1" w:lineRule="auto"/>
            </w:pPr>
            <w:r>
              <w:rPr>
                <w:rFonts w:ascii="Times New Roman" w:hAnsi="Times New Roman"/>
                <w:sz w:val="13"/>
              </w:rPr>
              <w:t>Deut. 29:1</w:t>
            </w:r>
          </w:p>
        </w:tc>
        <w:tc>
          <w:tcPr>
            <w:tcW w:type="dxa" w:w="3561"/>
            <w:vAlign w:val="top"/>
          </w:tcPr>
          <w:p>
            <w:pPr>
              <w:spacing w:after="0" w:line="221" w:lineRule="auto"/>
            </w:pPr>
            <w:r>
              <w:rPr>
                <w:rFonts w:ascii="Times New Roman" w:hAnsi="Times New Roman"/>
                <w:sz w:val="13"/>
              </w:rPr>
              <w:t>Moab covenant beside Horeb</w:t>
            </w:r>
          </w:p>
        </w:tc>
        <w:tc>
          <w:tcPr>
            <w:tcW w:type="dxa" w:w="3561"/>
            <w:vAlign w:val="top"/>
          </w:tcPr>
          <w:p>
            <w:pPr>
              <w:spacing w:after="0" w:line="221" w:lineRule="auto"/>
            </w:pPr>
            <w:r>
              <w:rPr>
                <w:rFonts w:ascii="Times New Roman" w:hAnsi="Times New Roman"/>
                <w:sz w:val="13"/>
              </w:rPr>
              <w:t>Distinct occasion; continuity/renewal without oversimplifying covenant categories.</w:t>
            </w:r>
          </w:p>
        </w:tc>
      </w:tr>
      <w:tr>
        <w:tc>
          <w:tcPr>
            <w:tcW w:type="dxa" w:w="3561"/>
            <w:vAlign w:val="top"/>
          </w:tcPr>
          <w:p>
            <w:pPr>
              <w:spacing w:after="0" w:line="221" w:lineRule="auto"/>
            </w:pPr>
            <w:r>
              <w:rPr>
                <w:rFonts w:ascii="Times New Roman" w:hAnsi="Times New Roman"/>
                <w:sz w:val="13"/>
              </w:rPr>
              <w:t>Hebrew numbering</w:t>
            </w:r>
          </w:p>
        </w:tc>
        <w:tc>
          <w:tcPr>
            <w:tcW w:type="dxa" w:w="3561"/>
            <w:vAlign w:val="top"/>
          </w:tcPr>
          <w:p>
            <w:pPr>
              <w:spacing w:after="0" w:line="221" w:lineRule="auto"/>
            </w:pPr>
            <w:r>
              <w:rPr>
                <w:rFonts w:ascii="Times New Roman" w:hAnsi="Times New Roman"/>
                <w:sz w:val="13"/>
              </w:rPr>
              <w:t>KJV 29:1 often = Heb. 28:69</w:t>
            </w:r>
          </w:p>
        </w:tc>
        <w:tc>
          <w:tcPr>
            <w:tcW w:type="dxa" w:w="3561"/>
            <w:vAlign w:val="top"/>
          </w:tcPr>
          <w:p>
            <w:pPr>
              <w:spacing w:after="0" w:line="221" w:lineRule="auto"/>
            </w:pPr>
            <w:r>
              <w:rPr>
                <w:rFonts w:ascii="Times New Roman" w:hAnsi="Times New Roman"/>
                <w:sz w:val="13"/>
              </w:rPr>
              <w:t>Traditional numbering difference.</w:t>
            </w:r>
          </w:p>
        </w:tc>
      </w:tr>
      <w:tr>
        <w:tc>
          <w:tcPr>
            <w:tcW w:type="dxa" w:w="3561"/>
            <w:vAlign w:val="top"/>
          </w:tcPr>
          <w:p>
            <w:pPr>
              <w:spacing w:after="0" w:line="221" w:lineRule="auto"/>
            </w:pPr>
            <w:r>
              <w:rPr>
                <w:rFonts w:ascii="Times New Roman" w:hAnsi="Times New Roman"/>
                <w:sz w:val="13"/>
              </w:rPr>
              <w:t>Deut. 29:4</w:t>
            </w:r>
          </w:p>
        </w:tc>
        <w:tc>
          <w:tcPr>
            <w:tcW w:type="dxa" w:w="3561"/>
            <w:vAlign w:val="top"/>
          </w:tcPr>
          <w:p>
            <w:pPr>
              <w:spacing w:after="0" w:line="221" w:lineRule="auto"/>
            </w:pPr>
            <w:r>
              <w:rPr>
                <w:rFonts w:ascii="Times New Roman" w:hAnsi="Times New Roman"/>
                <w:sz w:val="13"/>
              </w:rPr>
              <w:t>heart/eyes/ears not given</w:t>
            </w:r>
          </w:p>
        </w:tc>
        <w:tc>
          <w:tcPr>
            <w:tcW w:type="dxa" w:w="3561"/>
            <w:vAlign w:val="top"/>
          </w:tcPr>
          <w:p>
            <w:pPr>
              <w:spacing w:after="0" w:line="221" w:lineRule="auto"/>
            </w:pPr>
            <w:r>
              <w:rPr>
                <w:rFonts w:ascii="Times New Roman" w:hAnsi="Times New Roman"/>
                <w:sz w:val="13"/>
              </w:rPr>
              <w:t>Divine enabling + continuing responsibility.</w:t>
            </w:r>
          </w:p>
        </w:tc>
      </w:tr>
      <w:tr>
        <w:tc>
          <w:tcPr>
            <w:tcW w:type="dxa" w:w="3561"/>
            <w:vAlign w:val="top"/>
          </w:tcPr>
          <w:p>
            <w:pPr>
              <w:spacing w:after="0" w:line="221" w:lineRule="auto"/>
            </w:pPr>
            <w:r>
              <w:rPr>
                <w:rFonts w:ascii="Times New Roman" w:hAnsi="Times New Roman"/>
                <w:sz w:val="13"/>
              </w:rPr>
              <w:t>Deut. 29:5</w:t>
            </w:r>
          </w:p>
        </w:tc>
        <w:tc>
          <w:tcPr>
            <w:tcW w:type="dxa" w:w="3561"/>
            <w:vAlign w:val="top"/>
          </w:tcPr>
          <w:p>
            <w:pPr>
              <w:spacing w:after="0" w:line="221" w:lineRule="auto"/>
            </w:pPr>
            <w:r>
              <w:rPr>
                <w:rFonts w:ascii="Times New Roman" w:hAnsi="Times New Roman"/>
                <w:sz w:val="13"/>
              </w:rPr>
              <w:t>clothes/sandals preserved</w:t>
            </w:r>
          </w:p>
        </w:tc>
        <w:tc>
          <w:tcPr>
            <w:tcW w:type="dxa" w:w="3561"/>
            <w:vAlign w:val="top"/>
          </w:tcPr>
          <w:p>
            <w:pPr>
              <w:spacing w:after="0" w:line="221" w:lineRule="auto"/>
            </w:pPr>
            <w:r>
              <w:rPr>
                <w:rFonts w:ascii="Times New Roman" w:hAnsi="Times New Roman"/>
                <w:sz w:val="13"/>
              </w:rPr>
              <w:t>Compare Deut. 8:4.</w:t>
            </w:r>
          </w:p>
        </w:tc>
      </w:tr>
      <w:tr>
        <w:tc>
          <w:tcPr>
            <w:tcW w:type="dxa" w:w="3561"/>
            <w:vAlign w:val="top"/>
          </w:tcPr>
          <w:p>
            <w:pPr>
              <w:spacing w:after="0" w:line="221" w:lineRule="auto"/>
            </w:pPr>
            <w:r>
              <w:rPr>
                <w:rFonts w:ascii="Times New Roman" w:hAnsi="Times New Roman"/>
                <w:sz w:val="13"/>
              </w:rPr>
              <w:t>Deut. 29:6</w:t>
            </w:r>
          </w:p>
        </w:tc>
        <w:tc>
          <w:tcPr>
            <w:tcW w:type="dxa" w:w="3561"/>
            <w:vAlign w:val="top"/>
          </w:tcPr>
          <w:p>
            <w:pPr>
              <w:spacing w:after="0" w:line="221" w:lineRule="auto"/>
            </w:pPr>
            <w:r>
              <w:rPr>
                <w:rFonts w:ascii="Times New Roman" w:hAnsi="Times New Roman"/>
                <w:sz w:val="13"/>
              </w:rPr>
              <w:t>bread/wine/shekar</w:t>
            </w:r>
          </w:p>
        </w:tc>
        <w:tc>
          <w:tcPr>
            <w:tcW w:type="dxa" w:w="3561"/>
            <w:vAlign w:val="top"/>
          </w:tcPr>
          <w:p>
            <w:pPr>
              <w:spacing w:after="0" w:line="221" w:lineRule="auto"/>
            </w:pPr>
            <w:r>
              <w:rPr>
                <w:rFonts w:ascii="Times New Roman" w:hAnsi="Times New Roman"/>
                <w:sz w:val="13"/>
              </w:rPr>
              <w:t>Wilderness dependence; not necessarily absolute zero ordinary food ever.</w:t>
            </w:r>
          </w:p>
        </w:tc>
      </w:tr>
      <w:tr>
        <w:tc>
          <w:tcPr>
            <w:tcW w:type="dxa" w:w="3561"/>
            <w:vAlign w:val="top"/>
          </w:tcPr>
          <w:p>
            <w:pPr>
              <w:spacing w:after="0" w:line="221" w:lineRule="auto"/>
            </w:pPr>
            <w:r>
              <w:rPr>
                <w:rFonts w:ascii="Times New Roman" w:hAnsi="Times New Roman"/>
                <w:sz w:val="13"/>
              </w:rPr>
              <w:t>Deut. 29:9</w:t>
            </w:r>
          </w:p>
        </w:tc>
        <w:tc>
          <w:tcPr>
            <w:tcW w:type="dxa" w:w="3561"/>
            <w:vAlign w:val="top"/>
          </w:tcPr>
          <w:p>
            <w:pPr>
              <w:spacing w:after="0" w:line="221" w:lineRule="auto"/>
            </w:pPr>
            <w:r>
              <w:rPr>
                <w:rFonts w:ascii="Times New Roman" w:hAnsi="Times New Roman"/>
                <w:sz w:val="13"/>
              </w:rPr>
              <w:t>sakal</w:t>
            </w:r>
          </w:p>
        </w:tc>
        <w:tc>
          <w:tcPr>
            <w:tcW w:type="dxa" w:w="3561"/>
            <w:vAlign w:val="top"/>
          </w:tcPr>
          <w:p>
            <w:pPr>
              <w:spacing w:after="0" w:line="221" w:lineRule="auto"/>
            </w:pPr>
            <w:r>
              <w:rPr>
                <w:rFonts w:ascii="Times New Roman" w:hAnsi="Times New Roman"/>
                <w:sz w:val="13"/>
              </w:rPr>
              <w:t>Act wisely / have insight / prosper.</w:t>
            </w:r>
          </w:p>
        </w:tc>
      </w:tr>
      <w:tr>
        <w:tc>
          <w:tcPr>
            <w:tcW w:type="dxa" w:w="3561"/>
            <w:vAlign w:val="top"/>
          </w:tcPr>
          <w:p>
            <w:pPr>
              <w:spacing w:after="0" w:line="221" w:lineRule="auto"/>
            </w:pPr>
            <w:r>
              <w:rPr>
                <w:rFonts w:ascii="Times New Roman" w:hAnsi="Times New Roman"/>
                <w:sz w:val="13"/>
              </w:rPr>
              <w:t>Deut. 29:12</w:t>
            </w:r>
          </w:p>
        </w:tc>
        <w:tc>
          <w:tcPr>
            <w:tcW w:type="dxa" w:w="3561"/>
            <w:vAlign w:val="top"/>
          </w:tcPr>
          <w:p>
            <w:pPr>
              <w:spacing w:after="0" w:line="221" w:lineRule="auto"/>
            </w:pPr>
            <w:r>
              <w:rPr>
                <w:rFonts w:ascii="Times New Roman" w:hAnsi="Times New Roman"/>
                <w:sz w:val="13"/>
              </w:rPr>
              <w:t>‘abar + karat berit</w:t>
            </w:r>
          </w:p>
        </w:tc>
        <w:tc>
          <w:tcPr>
            <w:tcW w:type="dxa" w:w="3561"/>
            <w:vAlign w:val="top"/>
          </w:tcPr>
          <w:p>
            <w:pPr>
              <w:spacing w:after="0" w:line="221" w:lineRule="auto"/>
            </w:pPr>
            <w:r>
              <w:rPr>
                <w:rFonts w:ascii="Times New Roman" w:hAnsi="Times New Roman"/>
                <w:sz w:val="13"/>
              </w:rPr>
              <w:t>Pass into covenant; cut/make covenant idiom.</w:t>
            </w:r>
          </w:p>
        </w:tc>
      </w:tr>
      <w:tr>
        <w:tc>
          <w:tcPr>
            <w:tcW w:type="dxa" w:w="3561"/>
            <w:vAlign w:val="top"/>
          </w:tcPr>
          <w:p>
            <w:pPr>
              <w:spacing w:after="0" w:line="221" w:lineRule="auto"/>
            </w:pPr>
            <w:r>
              <w:rPr>
                <w:rFonts w:ascii="Times New Roman" w:hAnsi="Times New Roman"/>
                <w:sz w:val="13"/>
              </w:rPr>
              <w:t>Covenant-victim reconstruction</w:t>
            </w:r>
          </w:p>
        </w:tc>
        <w:tc>
          <w:tcPr>
            <w:tcW w:type="dxa" w:w="3561"/>
            <w:vAlign w:val="top"/>
          </w:tcPr>
          <w:p>
            <w:pPr>
              <w:spacing w:after="0" w:line="221" w:lineRule="auto"/>
            </w:pPr>
            <w:r>
              <w:rPr>
                <w:rFonts w:ascii="Times New Roman" w:hAnsi="Times New Roman"/>
                <w:sz w:val="13"/>
              </w:rPr>
              <w:t>unproved here</w:t>
            </w:r>
          </w:p>
        </w:tc>
        <w:tc>
          <w:tcPr>
            <w:tcW w:type="dxa" w:w="3561"/>
            <w:vAlign w:val="top"/>
          </w:tcPr>
          <w:p>
            <w:pPr>
              <w:spacing w:after="0" w:line="221" w:lineRule="auto"/>
            </w:pPr>
            <w:r>
              <w:rPr>
                <w:rFonts w:ascii="Times New Roman" w:hAnsi="Times New Roman"/>
                <w:sz w:val="13"/>
              </w:rPr>
              <w:t>No divided animal or sacrifice recorded in Deut. 29.</w:t>
            </w:r>
          </w:p>
        </w:tc>
      </w:tr>
      <w:tr>
        <w:tc>
          <w:tcPr>
            <w:tcW w:type="dxa" w:w="3561"/>
            <w:vAlign w:val="top"/>
          </w:tcPr>
          <w:p>
            <w:pPr>
              <w:spacing w:after="0" w:line="221" w:lineRule="auto"/>
            </w:pPr>
            <w:r>
              <w:rPr>
                <w:rFonts w:ascii="Times New Roman" w:hAnsi="Times New Roman"/>
                <w:sz w:val="13"/>
              </w:rPr>
              <w:t>Deut. 29:15</w:t>
            </w:r>
          </w:p>
        </w:tc>
        <w:tc>
          <w:tcPr>
            <w:tcW w:type="dxa" w:w="3561"/>
            <w:vAlign w:val="top"/>
          </w:tcPr>
          <w:p>
            <w:pPr>
              <w:spacing w:after="0" w:line="221" w:lineRule="auto"/>
            </w:pPr>
            <w:r>
              <w:rPr>
                <w:rFonts w:ascii="Times New Roman" w:hAnsi="Times New Roman"/>
                <w:sz w:val="13"/>
              </w:rPr>
              <w:t>not here this day</w:t>
            </w:r>
          </w:p>
        </w:tc>
        <w:tc>
          <w:tcPr>
            <w:tcW w:type="dxa" w:w="3561"/>
            <w:vAlign w:val="top"/>
          </w:tcPr>
          <w:p>
            <w:pPr>
              <w:spacing w:after="0" w:line="221" w:lineRule="auto"/>
            </w:pPr>
            <w:r>
              <w:rPr>
                <w:rFonts w:ascii="Times New Roman" w:hAnsi="Times New Roman"/>
                <w:sz w:val="13"/>
              </w:rPr>
              <w:t>Future generations naturally included.</w:t>
            </w:r>
          </w:p>
        </w:tc>
      </w:tr>
      <w:tr>
        <w:tc>
          <w:tcPr>
            <w:tcW w:type="dxa" w:w="3561"/>
            <w:vAlign w:val="top"/>
          </w:tcPr>
          <w:p>
            <w:pPr>
              <w:spacing w:after="0" w:line="221" w:lineRule="auto"/>
            </w:pPr>
            <w:r>
              <w:rPr>
                <w:rFonts w:ascii="Times New Roman" w:hAnsi="Times New Roman"/>
                <w:sz w:val="13"/>
              </w:rPr>
              <w:t>Deut. 29:18</w:t>
            </w:r>
          </w:p>
        </w:tc>
        <w:tc>
          <w:tcPr>
            <w:tcW w:type="dxa" w:w="3561"/>
            <w:vAlign w:val="top"/>
          </w:tcPr>
          <w:p>
            <w:pPr>
              <w:spacing w:after="0" w:line="221" w:lineRule="auto"/>
            </w:pPr>
            <w:r>
              <w:rPr>
                <w:rFonts w:ascii="Times New Roman" w:hAnsi="Times New Roman"/>
                <w:sz w:val="13"/>
              </w:rPr>
              <w:t>rosh</w:t>
            </w:r>
          </w:p>
        </w:tc>
        <w:tc>
          <w:tcPr>
            <w:tcW w:type="dxa" w:w="3561"/>
            <w:vAlign w:val="top"/>
          </w:tcPr>
          <w:p>
            <w:pPr>
              <w:spacing w:after="0" w:line="221" w:lineRule="auto"/>
            </w:pPr>
            <w:r>
              <w:rPr>
                <w:rFonts w:ascii="Times New Roman" w:hAnsi="Times New Roman"/>
                <w:sz w:val="13"/>
              </w:rPr>
              <w:t>Poisonous/bitter plant or poison; poppy identification uncertain.</w:t>
            </w:r>
          </w:p>
        </w:tc>
      </w:tr>
      <w:tr>
        <w:tc>
          <w:tcPr>
            <w:tcW w:type="dxa" w:w="3561"/>
            <w:vAlign w:val="top"/>
          </w:tcPr>
          <w:p>
            <w:pPr>
              <w:spacing w:after="0" w:line="221" w:lineRule="auto"/>
            </w:pPr>
            <w:r>
              <w:rPr>
                <w:rFonts w:ascii="Times New Roman" w:hAnsi="Times New Roman"/>
                <w:sz w:val="13"/>
              </w:rPr>
              <w:t>Deut. 29:18</w:t>
            </w:r>
          </w:p>
        </w:tc>
        <w:tc>
          <w:tcPr>
            <w:tcW w:type="dxa" w:w="3561"/>
            <w:vAlign w:val="top"/>
          </w:tcPr>
          <w:p>
            <w:pPr>
              <w:spacing w:after="0" w:line="221" w:lineRule="auto"/>
            </w:pPr>
            <w:r>
              <w:rPr>
                <w:rFonts w:ascii="Times New Roman" w:hAnsi="Times New Roman"/>
                <w:sz w:val="13"/>
              </w:rPr>
              <w:t>la‘anah</w:t>
            </w:r>
          </w:p>
        </w:tc>
        <w:tc>
          <w:tcPr>
            <w:tcW w:type="dxa" w:w="3561"/>
            <w:vAlign w:val="top"/>
          </w:tcPr>
          <w:p>
            <w:pPr>
              <w:spacing w:after="0" w:line="221" w:lineRule="auto"/>
            </w:pPr>
            <w:r>
              <w:rPr>
                <w:rFonts w:ascii="Times New Roman" w:hAnsi="Times New Roman"/>
                <w:sz w:val="13"/>
              </w:rPr>
              <w:t>Wormwood/bitter plant.</w:t>
            </w:r>
          </w:p>
        </w:tc>
      </w:tr>
      <w:tr>
        <w:tc>
          <w:tcPr>
            <w:tcW w:type="dxa" w:w="3561"/>
            <w:vAlign w:val="top"/>
          </w:tcPr>
          <w:p>
            <w:pPr>
              <w:spacing w:after="0" w:line="221" w:lineRule="auto"/>
            </w:pPr>
            <w:r>
              <w:rPr>
                <w:rFonts w:ascii="Times New Roman" w:hAnsi="Times New Roman"/>
                <w:sz w:val="13"/>
              </w:rPr>
              <w:t>Deut. 29:19</w:t>
            </w:r>
          </w:p>
        </w:tc>
        <w:tc>
          <w:tcPr>
            <w:tcW w:type="dxa" w:w="3561"/>
            <w:vAlign w:val="top"/>
          </w:tcPr>
          <w:p>
            <w:pPr>
              <w:spacing w:after="0" w:line="221" w:lineRule="auto"/>
            </w:pPr>
            <w:r>
              <w:rPr>
                <w:rFonts w:ascii="Times New Roman" w:hAnsi="Times New Roman"/>
                <w:sz w:val="13"/>
              </w:rPr>
              <w:t>sherirut</w:t>
            </w:r>
          </w:p>
        </w:tc>
        <w:tc>
          <w:tcPr>
            <w:tcW w:type="dxa" w:w="3561"/>
            <w:vAlign w:val="top"/>
          </w:tcPr>
          <w:p>
            <w:pPr>
              <w:spacing w:after="0" w:line="221" w:lineRule="auto"/>
            </w:pPr>
            <w:r>
              <w:rPr>
                <w:rFonts w:ascii="Times New Roman" w:hAnsi="Times New Roman"/>
                <w:sz w:val="13"/>
              </w:rPr>
              <w:t>Stubbornness/obstinacy.</w:t>
            </w:r>
          </w:p>
        </w:tc>
      </w:tr>
      <w:tr>
        <w:tc>
          <w:tcPr>
            <w:tcW w:type="dxa" w:w="3561"/>
            <w:vAlign w:val="top"/>
          </w:tcPr>
          <w:p>
            <w:pPr>
              <w:spacing w:after="0" w:line="221" w:lineRule="auto"/>
            </w:pPr>
            <w:r>
              <w:rPr>
                <w:rFonts w:ascii="Times New Roman" w:hAnsi="Times New Roman"/>
                <w:sz w:val="13"/>
              </w:rPr>
              <w:t>Deut. 29:19</w:t>
            </w:r>
          </w:p>
        </w:tc>
        <w:tc>
          <w:tcPr>
            <w:tcW w:type="dxa" w:w="3561"/>
            <w:vAlign w:val="top"/>
          </w:tcPr>
          <w:p>
            <w:pPr>
              <w:spacing w:after="0" w:line="221" w:lineRule="auto"/>
            </w:pPr>
            <w:r>
              <w:rPr>
                <w:rFonts w:ascii="Times New Roman" w:hAnsi="Times New Roman"/>
                <w:sz w:val="13"/>
              </w:rPr>
              <w:t>final Hebrew phrase</w:t>
            </w:r>
          </w:p>
        </w:tc>
        <w:tc>
          <w:tcPr>
            <w:tcW w:type="dxa" w:w="3561"/>
            <w:vAlign w:val="top"/>
          </w:tcPr>
          <w:p>
            <w:pPr>
              <w:spacing w:after="0" w:line="221" w:lineRule="auto"/>
            </w:pPr>
            <w:r>
              <w:rPr>
                <w:rFonts w:ascii="Times New Roman" w:hAnsi="Times New Roman"/>
                <w:sz w:val="13"/>
              </w:rPr>
              <w:t>Obscure; multiple translations.</w:t>
            </w:r>
          </w:p>
        </w:tc>
      </w:tr>
      <w:tr>
        <w:tc>
          <w:tcPr>
            <w:tcW w:type="dxa" w:w="3561"/>
            <w:vAlign w:val="top"/>
          </w:tcPr>
          <w:p>
            <w:pPr>
              <w:spacing w:after="0" w:line="221" w:lineRule="auto"/>
            </w:pPr>
            <w:r>
              <w:rPr>
                <w:rFonts w:ascii="Times New Roman" w:hAnsi="Times New Roman"/>
                <w:sz w:val="13"/>
              </w:rPr>
              <w:t>Deut. 29:22–28</w:t>
            </w:r>
          </w:p>
        </w:tc>
        <w:tc>
          <w:tcPr>
            <w:tcW w:type="dxa" w:w="3561"/>
            <w:vAlign w:val="top"/>
          </w:tcPr>
          <w:p>
            <w:pPr>
              <w:spacing w:after="0" w:line="221" w:lineRule="auto"/>
            </w:pPr>
            <w:r>
              <w:rPr>
                <w:rFonts w:ascii="Times New Roman" w:hAnsi="Times New Roman"/>
                <w:sz w:val="13"/>
              </w:rPr>
              <w:t>ruined land</w:t>
            </w:r>
          </w:p>
        </w:tc>
        <w:tc>
          <w:tcPr>
            <w:tcW w:type="dxa" w:w="3561"/>
            <w:vAlign w:val="top"/>
          </w:tcPr>
          <w:p>
            <w:pPr>
              <w:spacing w:after="0" w:line="221" w:lineRule="auto"/>
            </w:pPr>
            <w:r>
              <w:rPr>
                <w:rFonts w:ascii="Times New Roman" w:hAnsi="Times New Roman"/>
                <w:sz w:val="13"/>
              </w:rPr>
              <w:t>Covenant judgment explained to future observers.</w:t>
            </w:r>
          </w:p>
        </w:tc>
      </w:tr>
      <w:tr>
        <w:tc>
          <w:tcPr>
            <w:tcW w:type="dxa" w:w="3561"/>
            <w:vAlign w:val="top"/>
          </w:tcPr>
          <w:p>
            <w:pPr>
              <w:spacing w:after="0" w:line="221" w:lineRule="auto"/>
            </w:pPr>
            <w:r>
              <w:rPr>
                <w:rFonts w:ascii="Times New Roman" w:hAnsi="Times New Roman"/>
                <w:sz w:val="13"/>
              </w:rPr>
              <w:t>Deut. 29:29</w:t>
            </w:r>
          </w:p>
        </w:tc>
        <w:tc>
          <w:tcPr>
            <w:tcW w:type="dxa" w:w="3561"/>
            <w:vAlign w:val="top"/>
          </w:tcPr>
          <w:p>
            <w:pPr>
              <w:spacing w:after="0" w:line="221" w:lineRule="auto"/>
            </w:pPr>
            <w:r>
              <w:rPr>
                <w:rFonts w:ascii="Times New Roman" w:hAnsi="Times New Roman"/>
                <w:sz w:val="13"/>
              </w:rPr>
              <w:t>secret/revealed</w:t>
            </w:r>
          </w:p>
        </w:tc>
        <w:tc>
          <w:tcPr>
            <w:tcW w:type="dxa" w:w="3561"/>
            <w:vAlign w:val="top"/>
          </w:tcPr>
          <w:p>
            <w:pPr>
              <w:spacing w:after="0" w:line="221" w:lineRule="auto"/>
            </w:pPr>
            <w:r>
              <w:rPr>
                <w:rFonts w:ascii="Times New Roman" w:hAnsi="Times New Roman"/>
                <w:sz w:val="13"/>
              </w:rPr>
              <w:t>Revelation belongs to Israel for obedience.</w:t>
            </w:r>
          </w:p>
        </w:tc>
      </w:tr>
    </w:tbl>
    <w:p>
      <w:pPr>
        <w:pStyle w:val="Heading1"/>
      </w:pPr>
      <w:r>
        <w:t>RESIDUAL UNCERTAINTIES</w:t>
      </w:r>
    </w:p>
    <w:p>
      <w:pPr/>
      <w:r>
        <w:rPr>
          <w:i w:val="0"/>
        </w:rPr>
        <w:t>The exact force of the obscure final clause in verse 19 and the theological classification of the Moab covenant in relation to Horeb are debated. Mansfield’s poppy/opium identification and reconstructed covenant-victim ceremony have been retained only as possible exposition, not textual fact.</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29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7"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2" w:after="10"/>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8" w:after="10"/>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