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DEUTERONOMY 30</w:t>
      </w:r>
    </w:p>
    <w:p>
      <w:pPr>
        <w:pStyle w:val="Subtitle"/>
      </w:pPr>
      <w:r>
        <w:t>RETURN AFTER THE CURSE • RESTORE FORTUNES AND GATHER • HEART CIRCUMCISED BY YAHWEH • RENEWED OBEDIENCE • THE COMMAND IS NOT TOO HARD OR FAR AWAY • THE WORD IS NEAR • LIFE AND GOOD / DEATH AND EVIL • CHOOSE LIFE • YAHWEH IS THY LIFE</w:t>
      </w:r>
    </w:p>
    <w:p>
      <w:pPr/>
      <w:r>
        <w:rPr>
          <w:i/>
        </w:rPr>
        <w:t>H. P. Mansfield Bible notes — checked and arranged in verse-by-verse Expositor style</w:t>
      </w:r>
    </w:p>
    <w:p>
      <w:pPr/>
      <w:r>
        <w:rPr>
          <w:i w:val="0"/>
        </w:rPr>
        <w:t>Source: HPB 04-Deu01-Jud04.PDF principally p. 47; cross-checked with Mansfield’s Deuteronomy Expositor Chapter 30 and Paul’s use of the chapter in Romans 10.</w:t>
      </w:r>
    </w:p>
    <w:p>
      <w:pPr>
        <w:pStyle w:val="Heading1"/>
      </w:pPr>
      <w:r>
        <w:t>CHAPTER OVERVIEW</w:t>
      </w:r>
    </w:p>
    <w:p>
      <w:pPr/>
      <w:r>
        <w:rPr>
          <w:i w:val="0"/>
        </w:rPr>
        <w:t>Deuteronomy 30 refuses to make covenant judgment the final word. After blessing, curse and dispersion have been experienced, return to Yahweh is met by compassion, regathering and a promised circumcision of the heart.</w:t>
      </w:r>
    </w:p>
    <w:p>
      <w:pPr/>
      <w:r>
        <w:rPr>
          <w:i w:val="0"/>
        </w:rPr>
        <w:t>The final appeal is deliberately accessible: Israel does not need revelation fetched from heaven or beyond the sea. Yahweh’s word is near enough to be spoken, received and done.</w:t>
      </w:r>
    </w:p>
    <w:p>
      <w:pPr>
        <w:pStyle w:val="Heading1"/>
      </w:pPr>
      <w:r>
        <w:t>RETURN AND RESTORATION — DEUTERONOMY 30:1–5</w:t>
      </w:r>
    </w:p>
    <w:p>
      <w:pPr>
        <w:pStyle w:val="Heading2"/>
      </w:pPr>
      <w:r>
        <w:t>Deuteronomy 30:1–2 — blessing and curse remembered in dispersion</w:t>
      </w:r>
    </w:p>
    <w:p>
      <w:pPr/>
      <w:r>
        <w:rPr>
          <w:i w:val="0"/>
        </w:rPr>
        <w:t>Moses anticipates the covenant experiences coming upon Israel among the nations. When Israel brings them back to heart/mind and returns to Yahweh with heart and `nephesh`, restoration becomes possible.</w:t>
      </w:r>
    </w:p>
    <w:p>
      <w:pPr/>
      <w:r>
        <w:rPr>
          <w:i w:val="0"/>
        </w:rPr>
        <w:t>`Nephesh` means life/self/person; the return is whole-person allegiance.</w:t>
      </w:r>
    </w:p>
    <w:p>
      <w:pPr>
        <w:pStyle w:val="Heading2"/>
      </w:pPr>
      <w:r>
        <w:t>Deuteronomy 30:3 — `shuv shevut`</w:t>
      </w:r>
    </w:p>
    <w:p>
      <w:pPr/>
      <w:r>
        <w:rPr>
          <w:i w:val="0"/>
        </w:rPr>
        <w:t>KJV says Yahweh “will turn thy captivity.” The Hebrew idiom is commonly understood as restore your fortunes / restore from captivity, accompanied by compassion and regathering.</w:t>
      </w:r>
    </w:p>
    <w:p>
      <w:pPr/>
      <w:r>
        <w:rPr>
          <w:i w:val="0"/>
        </w:rPr>
        <w:t>Mansfield’s preferred spiritual-healing discussion is useful as application, but the Hebrew clause itself speaks straightforwardly of reversal/restoration of Israel’s condition.</w:t>
      </w:r>
    </w:p>
    <w:p>
      <w:pPr>
        <w:pStyle w:val="Heading2"/>
      </w:pPr>
      <w:r>
        <w:t>Deuteronomy 30:4 — ends of heaven</w:t>
      </w:r>
    </w:p>
    <w:p>
      <w:pPr/>
      <w:r>
        <w:rPr>
          <w:i w:val="0"/>
        </w:rPr>
        <w:t>Even if outcasts are at the extremity of the heavens, Yahweh can gather and fetch them.</w:t>
      </w:r>
    </w:p>
    <w:p>
      <w:pPr/>
      <w:r>
        <w:rPr>
          <w:i w:val="0"/>
        </w:rPr>
        <w:t>The phrase describes the furthest imaginable geographical dispersion. Mansfield’s explanation that “heaven” here specifically means lands under Gentile political rulers is not required by the text.</w:t>
      </w:r>
    </w:p>
    <w:p>
      <w:pPr>
        <w:pStyle w:val="Heading2"/>
      </w:pPr>
      <w:r>
        <w:t>Deuteronomy 30:5 — returned to the fathers’ land</w:t>
      </w:r>
    </w:p>
    <w:p>
      <w:pPr/>
      <w:r>
        <w:rPr>
          <w:i w:val="0"/>
        </w:rPr>
        <w:t>Yahweh brings Israel into the land of the fathers, causes possession, does good and multiplies the nation.</w:t>
      </w:r>
    </w:p>
    <w:p>
      <w:pPr/>
      <w:r>
        <w:rPr>
          <w:i w:val="0"/>
        </w:rPr>
        <w:t>The text gives a broad covenant-restoration promise. Detailed latter-day routes, assembly points and modern political stages proposed by Mansfield are interpretative schemes, not information contained in these verses.</w:t>
      </w:r>
    </w:p>
    <w:p>
      <w:pPr>
        <w:pStyle w:val="Heading1"/>
      </w:pPr>
      <w:r>
        <w:t>YAHWEH CIRCUMCISES THE HEART — DEUTERONOMY 30:6–10</w:t>
      </w:r>
    </w:p>
    <w:p>
      <w:pPr>
        <w:pStyle w:val="Heading2"/>
      </w:pPr>
      <w:r>
        <w:t>Deuteronomy 30:6 — Divine heart-transformation</w:t>
      </w:r>
    </w:p>
    <w:p>
      <w:pPr/>
      <w:r>
        <w:rPr>
          <w:i w:val="0"/>
        </w:rPr>
        <w:t>Yahweh will circumcise Israel’s heart and the heart of its seed so that they love Him with all heart and nephesh and live.</w:t>
      </w:r>
    </w:p>
    <w:p>
      <w:pPr/>
      <w:r>
        <w:rPr>
          <w:i w:val="0"/>
        </w:rPr>
        <w:t>Earlier Deuteronomy 10:16 commanded Israel to circumcise its heart; here Yahweh promises the transforming action. The two belong together: human response and Divine grace are not competing themes.</w:t>
      </w:r>
    </w:p>
    <w:p>
      <w:pPr>
        <w:pStyle w:val="Heading2"/>
      </w:pPr>
      <w:r>
        <w:t>Deuteronomy 30:7 — curses upon persecutors</w:t>
      </w:r>
    </w:p>
    <w:p>
      <w:pPr/>
      <w:r>
        <w:rPr>
          <w:i w:val="0"/>
        </w:rPr>
        <w:t>The covenant curses are transferred to enemies who hated and persecuted Israel.</w:t>
      </w:r>
    </w:p>
    <w:p>
      <w:pPr>
        <w:pStyle w:val="Heading2"/>
      </w:pPr>
      <w:r>
        <w:t>Deuteronomy 30:8–9 — renewed hearing and abundant good</w:t>
      </w:r>
    </w:p>
    <w:p>
      <w:pPr/>
      <w:r>
        <w:rPr>
          <w:i w:val="0"/>
        </w:rPr>
        <w:t>Restored Israel again hears Yahweh’s voice and does His commandments; Yahweh blesses work, offspring, livestock and produce and rejoices over the nation for good.</w:t>
      </w:r>
    </w:p>
    <w:p>
      <w:pPr>
        <w:pStyle w:val="Heading2"/>
      </w:pPr>
      <w:r>
        <w:t>Deuteronomy 30:10 — return with all heart and life</w:t>
      </w:r>
    </w:p>
    <w:p>
      <w:pPr/>
      <w:r>
        <w:rPr>
          <w:i w:val="0"/>
        </w:rPr>
        <w:t>The renewed blessing remains inseparable from turning to Yahweh with all heart and all nephesh.</w:t>
      </w:r>
    </w:p>
    <w:p>
      <w:pPr>
        <w:pStyle w:val="Heading1"/>
      </w:pPr>
      <w:r>
        <w:t>THE COMMANDMENT IS ACCESSIBLE — DEUTERONOMY 30:11–14</w:t>
      </w:r>
    </w:p>
    <w:p>
      <w:pPr>
        <w:pStyle w:val="Heading2"/>
      </w:pPr>
      <w:r>
        <w:t>Deuteronomy 30:11 — not too difficult</w:t>
      </w:r>
    </w:p>
    <w:p>
      <w:pPr/>
      <w:r>
        <w:rPr>
          <w:i w:val="0"/>
        </w:rPr>
        <w:t>KJV says the commandment is “not hidden.” The Hebrew `nifle’t` here is better understood as too difficult/extraordinary beyond ability, and it is not far away.</w:t>
      </w:r>
    </w:p>
    <w:p>
      <w:pPr/>
      <w:r>
        <w:rPr>
          <w:i w:val="0"/>
        </w:rPr>
        <w:t>The point is accessibility, not the elimination of every intellectual difficulty in Scripture.</w:t>
      </w:r>
    </w:p>
    <w:p>
      <w:pPr>
        <w:pStyle w:val="Heading2"/>
      </w:pPr>
      <w:r>
        <w:t>Deuteronomy 30:12 — not in heaven</w:t>
      </w:r>
    </w:p>
    <w:p>
      <w:pPr/>
      <w:r>
        <w:rPr>
          <w:i w:val="0"/>
        </w:rPr>
        <w:t>Israel need not ask who will ascend heaven to fetch the command down so that they can hear and do it.</w:t>
      </w:r>
    </w:p>
    <w:p>
      <w:pPr>
        <w:pStyle w:val="Heading2"/>
      </w:pPr>
      <w:r>
        <w:t>Deuteronomy 30:13 — not beyond the sea</w:t>
      </w:r>
    </w:p>
    <w:p>
      <w:pPr/>
      <w:r>
        <w:rPr>
          <w:i w:val="0"/>
        </w:rPr>
        <w:t>Nor must someone cross the sea to retrieve it.</w:t>
      </w:r>
    </w:p>
    <w:p>
      <w:pPr>
        <w:pStyle w:val="Heading2"/>
      </w:pPr>
      <w:r>
        <w:t>Deuteronomy 30:14 — word near mouth and heart</w:t>
      </w:r>
    </w:p>
    <w:p>
      <w:pPr/>
      <w:r>
        <w:rPr>
          <w:i w:val="0"/>
        </w:rPr>
        <w:t>The word is “very nigh,” in mouth and heart, “that thou mayest do it.”</w:t>
      </w:r>
    </w:p>
    <w:p>
      <w:pPr/>
      <w:r>
        <w:rPr>
          <w:i w:val="0"/>
        </w:rPr>
        <w:t>The endpoint of accessibility is obedience.</w:t>
      </w:r>
    </w:p>
    <w:p>
      <w:pPr>
        <w:pStyle w:val="Heading1"/>
      </w:pPr>
      <w:r>
        <w:t>PAUL’S USE IN ROMANS 10</w:t>
      </w:r>
    </w:p>
    <w:p>
      <w:pPr>
        <w:pStyle w:val="Heading2"/>
      </w:pPr>
      <w:r>
        <w:t>Romans 10:6–8 — apostolic adaptation</w:t>
      </w:r>
    </w:p>
    <w:p>
      <w:pPr/>
      <w:r>
        <w:rPr>
          <w:i w:val="0"/>
        </w:rPr>
        <w:t>Paul draws on Deuteronomy 30:12–14 when explaining the righteousness of faith, adapting the ascent/descent language to Christ: do not ask who will ascend to bring Christ down or descend into the abyss to bring him up.</w:t>
      </w:r>
    </w:p>
    <w:p>
      <w:pPr/>
      <w:r>
        <w:rPr>
          <w:i w:val="0"/>
        </w:rPr>
        <w:t>Paul’s use is inspired Christological application of the “word near” principle. His wording is not simply the original lexical meaning of Moses’ “sea” and “heaven” phrases, so later Pauline phrases should not be read back as if they were the plain grammatical wording of Deuteronomy.</w:t>
      </w:r>
    </w:p>
    <w:p>
      <w:pPr>
        <w:pStyle w:val="Heading1"/>
      </w:pPr>
      <w:r>
        <w:t>LIFE AND DEATH SET BEFORE ISRAEL — DEUTERONOMY 30:15–18</w:t>
      </w:r>
    </w:p>
    <w:p>
      <w:pPr>
        <w:pStyle w:val="Heading2"/>
      </w:pPr>
      <w:r>
        <w:t>Deuteronomy 30:15–16 — life and good</w:t>
      </w:r>
    </w:p>
    <w:p>
      <w:pPr/>
      <w:r>
        <w:rPr>
          <w:i w:val="0"/>
        </w:rPr>
        <w:t>Moses sets life and good against death and evil. Life is expressed through loving Yahweh, walking in His ways and keeping His commands.</w:t>
      </w:r>
    </w:p>
    <w:p>
      <w:pPr>
        <w:pStyle w:val="Heading2"/>
      </w:pPr>
      <w:r>
        <w:t>Deuteronomy 30:17–18 — turning away</w:t>
      </w:r>
    </w:p>
    <w:p>
      <w:pPr/>
      <w:r>
        <w:rPr>
          <w:i w:val="0"/>
        </w:rPr>
        <w:t>If the heart turns away, refuses to hear and is drawn into other worship, Israel will perish and lose prolonged possession of the land.</w:t>
      </w:r>
    </w:p>
    <w:p>
      <w:pPr>
        <w:pStyle w:val="Heading1"/>
      </w:pPr>
      <w:r>
        <w:t>CHOOSE LIFE — DEUTERONOMY 30:19–20</w:t>
      </w:r>
    </w:p>
    <w:p>
      <w:pPr>
        <w:pStyle w:val="Heading2"/>
      </w:pPr>
      <w:r>
        <w:t>Deuteronomy 30:19 — heaven and earth witnesses</w:t>
      </w:r>
    </w:p>
    <w:p>
      <w:pPr/>
      <w:r>
        <w:rPr>
          <w:i w:val="0"/>
        </w:rPr>
        <w:t>Heaven and earth are again called as covenant witnesses. Life/death and blessing/curse are set before Israel, followed by the appeal: “therefore choose life.”</w:t>
      </w:r>
    </w:p>
    <w:p>
      <w:pPr>
        <w:pStyle w:val="Heading2"/>
      </w:pPr>
      <w:r>
        <w:t>Deuteronomy 30:20 — Yahweh Himself is life</w:t>
      </w:r>
    </w:p>
    <w:p>
      <w:pPr/>
      <w:r>
        <w:rPr>
          <w:i w:val="0"/>
        </w:rPr>
        <w:t>Choosing life is defined as loving Yahweh, obeying His voice and cleaving to Him, “for he is thy life, and the length of thy days.”</w:t>
      </w:r>
    </w:p>
    <w:p>
      <w:pPr/>
      <w:r>
        <w:rPr>
          <w:i w:val="0"/>
        </w:rPr>
        <w:t>The chapter does not finally present “life” as an autonomous commodity; life is found in covenant relationship to Yahweh.</w:t>
      </w:r>
    </w:p>
    <w:p>
      <w:pPr>
        <w:pStyle w:val="Heading1"/>
      </w:pPr>
      <w:r>
        <w:t>PRINCIPAL THEMES</w:t>
      </w:r>
    </w:p>
    <w:p>
      <w:pPr>
        <w:ind w:left="259" w:hanging="202"/>
      </w:pPr>
      <w:r>
        <w:rPr>
          <w:b/>
        </w:rPr>
        <w:t xml:space="preserve">• </w:t>
      </w:r>
      <w:r>
        <w:t>Restoration involves return to Yahweh, not geography alone.</w:t>
      </w:r>
    </w:p>
    <w:p>
      <w:pPr>
        <w:ind w:left="259" w:hanging="202"/>
      </w:pPr>
      <w:r>
        <w:rPr>
          <w:b/>
        </w:rPr>
        <w:t xml:space="preserve">• </w:t>
      </w:r>
      <w:r>
        <w:t>`Shuv shevut` describes restoration/reversal of captivity or fortunes.</w:t>
      </w:r>
    </w:p>
    <w:p>
      <w:pPr>
        <w:ind w:left="259" w:hanging="202"/>
      </w:pPr>
      <w:r>
        <w:rPr>
          <w:b/>
        </w:rPr>
        <w:t xml:space="preserve">• </w:t>
      </w:r>
      <w:r>
        <w:t>The ends-of-heaven phrase expresses extreme dispersion rather than a technical code for Gentile governments.</w:t>
      </w:r>
    </w:p>
    <w:p>
      <w:pPr>
        <w:ind w:left="259" w:hanging="202"/>
      </w:pPr>
      <w:r>
        <w:rPr>
          <w:b/>
        </w:rPr>
        <w:t xml:space="preserve">• </w:t>
      </w:r>
      <w:r>
        <w:t>Detailed latter-day routes and contemporary political identifications go beyond Deuteronomy 30.</w:t>
      </w:r>
    </w:p>
    <w:p>
      <w:pPr>
        <w:ind w:left="259" w:hanging="202"/>
      </w:pPr>
      <w:r>
        <w:rPr>
          <w:b/>
        </w:rPr>
        <w:t xml:space="preserve">• </w:t>
      </w:r>
      <w:r>
        <w:t>Heart circumcision is explicitly promised as Yahweh’s transforming work.</w:t>
      </w:r>
    </w:p>
    <w:p>
      <w:pPr>
        <w:ind w:left="259" w:hanging="202"/>
      </w:pPr>
      <w:r>
        <w:rPr>
          <w:b/>
        </w:rPr>
        <w:t xml:space="preserve">• </w:t>
      </w:r>
      <w:r>
        <w:t>`Nephesh` means life/self/person.</w:t>
      </w:r>
    </w:p>
    <w:p>
      <w:pPr>
        <w:ind w:left="259" w:hanging="202"/>
      </w:pPr>
      <w:r>
        <w:rPr>
          <w:b/>
        </w:rPr>
        <w:t xml:space="preserve">• </w:t>
      </w:r>
      <w:r>
        <w:t>`Nifle’t` means too difficult/extraordinary rather than simply hidden.</w:t>
      </w:r>
    </w:p>
    <w:p>
      <w:pPr>
        <w:ind w:left="259" w:hanging="202"/>
      </w:pPr>
      <w:r>
        <w:rPr>
          <w:b/>
        </w:rPr>
        <w:t xml:space="preserve">• </w:t>
      </w:r>
      <w:r>
        <w:t>The nearness of the word is directed toward doing it.</w:t>
      </w:r>
    </w:p>
    <w:p>
      <w:pPr>
        <w:ind w:left="259" w:hanging="202"/>
      </w:pPr>
      <w:r>
        <w:rPr>
          <w:b/>
        </w:rPr>
        <w:t xml:space="preserve">• </w:t>
      </w:r>
      <w:r>
        <w:t>Romans 10 apostolically adapts Deuteronomy 30’s language to Christ and the Gospel.</w:t>
      </w:r>
    </w:p>
    <w:p>
      <w:pPr>
        <w:ind w:left="259" w:hanging="202"/>
      </w:pPr>
      <w:r>
        <w:rPr>
          <w:b/>
        </w:rPr>
        <w:t xml:space="preserve">• </w:t>
      </w:r>
      <w:r>
        <w:t>Life and good are inseparable from loving and hearing Yahweh.</w:t>
      </w:r>
    </w:p>
    <w:p>
      <w:pPr>
        <w:ind w:left="259" w:hanging="202"/>
      </w:pPr>
      <w:r>
        <w:rPr>
          <w:b/>
        </w:rPr>
        <w:t xml:space="preserve">• </w:t>
      </w:r>
      <w:r>
        <w:t>Yahweh Himself is Israel’s life.</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1" w:lineRule="auto"/>
            </w:pPr>
            <w:r>
              <w:rPr>
                <w:rFonts w:ascii="Times New Roman" w:hAnsi="Times New Roman"/>
                <w:sz w:val="13"/>
              </w:rPr>
              <w:t>Deut. 30:2</w:t>
            </w:r>
          </w:p>
        </w:tc>
        <w:tc>
          <w:tcPr>
            <w:tcW w:type="dxa" w:w="3561"/>
            <w:vAlign w:val="top"/>
          </w:tcPr>
          <w:p>
            <w:pPr>
              <w:spacing w:after="0" w:line="221" w:lineRule="auto"/>
            </w:pPr>
            <w:r>
              <w:rPr>
                <w:rFonts w:ascii="Times New Roman" w:hAnsi="Times New Roman"/>
                <w:sz w:val="13"/>
              </w:rPr>
              <w:t>heart + nephesh</w:t>
            </w:r>
          </w:p>
        </w:tc>
        <w:tc>
          <w:tcPr>
            <w:tcW w:type="dxa" w:w="3561"/>
            <w:vAlign w:val="top"/>
          </w:tcPr>
          <w:p>
            <w:pPr>
              <w:spacing w:after="0" w:line="221" w:lineRule="auto"/>
            </w:pPr>
            <w:r>
              <w:rPr>
                <w:rFonts w:ascii="Times New Roman" w:hAnsi="Times New Roman"/>
                <w:sz w:val="13"/>
              </w:rPr>
              <w:t>Whole-person return.</w:t>
            </w:r>
          </w:p>
        </w:tc>
      </w:tr>
      <w:tr>
        <w:tc>
          <w:tcPr>
            <w:tcW w:type="dxa" w:w="3561"/>
            <w:vAlign w:val="top"/>
          </w:tcPr>
          <w:p>
            <w:pPr>
              <w:spacing w:after="0" w:line="221" w:lineRule="auto"/>
            </w:pPr>
            <w:r>
              <w:rPr>
                <w:rFonts w:ascii="Times New Roman" w:hAnsi="Times New Roman"/>
                <w:sz w:val="13"/>
              </w:rPr>
              <w:t>Deut. 30:3</w:t>
            </w:r>
          </w:p>
        </w:tc>
        <w:tc>
          <w:tcPr>
            <w:tcW w:type="dxa" w:w="3561"/>
            <w:vAlign w:val="top"/>
          </w:tcPr>
          <w:p>
            <w:pPr>
              <w:spacing w:after="0" w:line="221" w:lineRule="auto"/>
            </w:pPr>
            <w:r>
              <w:rPr>
                <w:rFonts w:ascii="Times New Roman" w:hAnsi="Times New Roman"/>
                <w:sz w:val="13"/>
              </w:rPr>
              <w:t>shuv shevut</w:t>
            </w:r>
          </w:p>
        </w:tc>
        <w:tc>
          <w:tcPr>
            <w:tcW w:type="dxa" w:w="3561"/>
            <w:vAlign w:val="top"/>
          </w:tcPr>
          <w:p>
            <w:pPr>
              <w:spacing w:after="0" w:line="221" w:lineRule="auto"/>
            </w:pPr>
            <w:r>
              <w:rPr>
                <w:rFonts w:ascii="Times New Roman" w:hAnsi="Times New Roman"/>
                <w:sz w:val="13"/>
              </w:rPr>
              <w:t>Restore fortunes/captivity; compassion + gathering.</w:t>
            </w:r>
          </w:p>
        </w:tc>
      </w:tr>
      <w:tr>
        <w:tc>
          <w:tcPr>
            <w:tcW w:type="dxa" w:w="3561"/>
            <w:vAlign w:val="top"/>
          </w:tcPr>
          <w:p>
            <w:pPr>
              <w:spacing w:after="0" w:line="221" w:lineRule="auto"/>
            </w:pPr>
            <w:r>
              <w:rPr>
                <w:rFonts w:ascii="Times New Roman" w:hAnsi="Times New Roman"/>
                <w:sz w:val="13"/>
              </w:rPr>
              <w:t>Deut. 30:4</w:t>
            </w:r>
          </w:p>
        </w:tc>
        <w:tc>
          <w:tcPr>
            <w:tcW w:type="dxa" w:w="3561"/>
            <w:vAlign w:val="top"/>
          </w:tcPr>
          <w:p>
            <w:pPr>
              <w:spacing w:after="0" w:line="221" w:lineRule="auto"/>
            </w:pPr>
            <w:r>
              <w:rPr>
                <w:rFonts w:ascii="Times New Roman" w:hAnsi="Times New Roman"/>
                <w:sz w:val="13"/>
              </w:rPr>
              <w:t>ends of heaven</w:t>
            </w:r>
          </w:p>
        </w:tc>
        <w:tc>
          <w:tcPr>
            <w:tcW w:type="dxa" w:w="3561"/>
            <w:vAlign w:val="top"/>
          </w:tcPr>
          <w:p>
            <w:pPr>
              <w:spacing w:after="0" w:line="221" w:lineRule="auto"/>
            </w:pPr>
            <w:r>
              <w:rPr>
                <w:rFonts w:ascii="Times New Roman" w:hAnsi="Times New Roman"/>
                <w:sz w:val="13"/>
              </w:rPr>
              <w:t>Furthest dispersion; political-heavens theory unnecessary.</w:t>
            </w:r>
          </w:p>
        </w:tc>
      </w:tr>
      <w:tr>
        <w:tc>
          <w:tcPr>
            <w:tcW w:type="dxa" w:w="3561"/>
            <w:vAlign w:val="top"/>
          </w:tcPr>
          <w:p>
            <w:pPr>
              <w:spacing w:after="0" w:line="221" w:lineRule="auto"/>
            </w:pPr>
            <w:r>
              <w:rPr>
                <w:rFonts w:ascii="Times New Roman" w:hAnsi="Times New Roman"/>
                <w:sz w:val="13"/>
              </w:rPr>
              <w:t>Deut. 30:5</w:t>
            </w:r>
          </w:p>
        </w:tc>
        <w:tc>
          <w:tcPr>
            <w:tcW w:type="dxa" w:w="3561"/>
            <w:vAlign w:val="top"/>
          </w:tcPr>
          <w:p>
            <w:pPr>
              <w:spacing w:after="0" w:line="221" w:lineRule="auto"/>
            </w:pPr>
            <w:r>
              <w:rPr>
                <w:rFonts w:ascii="Times New Roman" w:hAnsi="Times New Roman"/>
                <w:sz w:val="13"/>
              </w:rPr>
              <w:t>fathers’ land</w:t>
            </w:r>
          </w:p>
        </w:tc>
        <w:tc>
          <w:tcPr>
            <w:tcW w:type="dxa" w:w="3561"/>
            <w:vAlign w:val="top"/>
          </w:tcPr>
          <w:p>
            <w:pPr>
              <w:spacing w:after="0" w:line="221" w:lineRule="auto"/>
            </w:pPr>
            <w:r>
              <w:rPr>
                <w:rFonts w:ascii="Times New Roman" w:hAnsi="Times New Roman"/>
                <w:sz w:val="13"/>
              </w:rPr>
              <w:t>Broad restoration promise.</w:t>
            </w:r>
          </w:p>
        </w:tc>
      </w:tr>
      <w:tr>
        <w:tc>
          <w:tcPr>
            <w:tcW w:type="dxa" w:w="3561"/>
            <w:vAlign w:val="top"/>
          </w:tcPr>
          <w:p>
            <w:pPr>
              <w:spacing w:after="0" w:line="221" w:lineRule="auto"/>
            </w:pPr>
            <w:r>
              <w:rPr>
                <w:rFonts w:ascii="Times New Roman" w:hAnsi="Times New Roman"/>
                <w:sz w:val="13"/>
              </w:rPr>
              <w:t>Deut. 30:6</w:t>
            </w:r>
          </w:p>
        </w:tc>
        <w:tc>
          <w:tcPr>
            <w:tcW w:type="dxa" w:w="3561"/>
            <w:vAlign w:val="top"/>
          </w:tcPr>
          <w:p>
            <w:pPr>
              <w:spacing w:after="0" w:line="221" w:lineRule="auto"/>
            </w:pPr>
            <w:r>
              <w:rPr>
                <w:rFonts w:ascii="Times New Roman" w:hAnsi="Times New Roman"/>
                <w:sz w:val="13"/>
              </w:rPr>
              <w:t>circumcise heart</w:t>
            </w:r>
          </w:p>
        </w:tc>
        <w:tc>
          <w:tcPr>
            <w:tcW w:type="dxa" w:w="3561"/>
            <w:vAlign w:val="top"/>
          </w:tcPr>
          <w:p>
            <w:pPr>
              <w:spacing w:after="0" w:line="221" w:lineRule="auto"/>
            </w:pPr>
            <w:r>
              <w:rPr>
                <w:rFonts w:ascii="Times New Roman" w:hAnsi="Times New Roman"/>
                <w:sz w:val="13"/>
              </w:rPr>
              <w:t>Yahweh acts to create wholehearted love.</w:t>
            </w:r>
          </w:p>
        </w:tc>
      </w:tr>
      <w:tr>
        <w:tc>
          <w:tcPr>
            <w:tcW w:type="dxa" w:w="3561"/>
            <w:vAlign w:val="top"/>
          </w:tcPr>
          <w:p>
            <w:pPr>
              <w:spacing w:after="0" w:line="221" w:lineRule="auto"/>
            </w:pPr>
            <w:r>
              <w:rPr>
                <w:rFonts w:ascii="Times New Roman" w:hAnsi="Times New Roman"/>
                <w:sz w:val="13"/>
              </w:rPr>
              <w:t>Deut. 10:16 / 30:6</w:t>
            </w:r>
          </w:p>
        </w:tc>
        <w:tc>
          <w:tcPr>
            <w:tcW w:type="dxa" w:w="3561"/>
            <w:vAlign w:val="top"/>
          </w:tcPr>
          <w:p>
            <w:pPr>
              <w:spacing w:after="0" w:line="221" w:lineRule="auto"/>
            </w:pPr>
            <w:r>
              <w:rPr>
                <w:rFonts w:ascii="Times New Roman" w:hAnsi="Times New Roman"/>
                <w:sz w:val="13"/>
              </w:rPr>
              <w:t>heart circumcision</w:t>
            </w:r>
          </w:p>
        </w:tc>
        <w:tc>
          <w:tcPr>
            <w:tcW w:type="dxa" w:w="3561"/>
            <w:vAlign w:val="top"/>
          </w:tcPr>
          <w:p>
            <w:pPr>
              <w:spacing w:after="0" w:line="221" w:lineRule="auto"/>
            </w:pPr>
            <w:r>
              <w:rPr>
                <w:rFonts w:ascii="Times New Roman" w:hAnsi="Times New Roman"/>
                <w:sz w:val="13"/>
              </w:rPr>
              <w:t>Human command + Divine promise.</w:t>
            </w:r>
          </w:p>
        </w:tc>
      </w:tr>
      <w:tr>
        <w:tc>
          <w:tcPr>
            <w:tcW w:type="dxa" w:w="3561"/>
            <w:vAlign w:val="top"/>
          </w:tcPr>
          <w:p>
            <w:pPr>
              <w:spacing w:after="0" w:line="221" w:lineRule="auto"/>
            </w:pPr>
            <w:r>
              <w:rPr>
                <w:rFonts w:ascii="Times New Roman" w:hAnsi="Times New Roman"/>
                <w:sz w:val="13"/>
              </w:rPr>
              <w:t>Deut. 30:7</w:t>
            </w:r>
          </w:p>
        </w:tc>
        <w:tc>
          <w:tcPr>
            <w:tcW w:type="dxa" w:w="3561"/>
            <w:vAlign w:val="top"/>
          </w:tcPr>
          <w:p>
            <w:pPr>
              <w:spacing w:after="0" w:line="221" w:lineRule="auto"/>
            </w:pPr>
            <w:r>
              <w:rPr>
                <w:rFonts w:ascii="Times New Roman" w:hAnsi="Times New Roman"/>
                <w:sz w:val="13"/>
              </w:rPr>
              <w:t>curses on persecutors</w:t>
            </w:r>
          </w:p>
        </w:tc>
        <w:tc>
          <w:tcPr>
            <w:tcW w:type="dxa" w:w="3561"/>
            <w:vAlign w:val="top"/>
          </w:tcPr>
          <w:p>
            <w:pPr>
              <w:spacing w:after="0" w:line="221" w:lineRule="auto"/>
            </w:pPr>
            <w:r>
              <w:rPr>
                <w:rFonts w:ascii="Times New Roman" w:hAnsi="Times New Roman"/>
                <w:sz w:val="13"/>
              </w:rPr>
              <w:t>Covenant reversal.</w:t>
            </w:r>
          </w:p>
        </w:tc>
      </w:tr>
      <w:tr>
        <w:tc>
          <w:tcPr>
            <w:tcW w:type="dxa" w:w="3561"/>
            <w:vAlign w:val="top"/>
          </w:tcPr>
          <w:p>
            <w:pPr>
              <w:spacing w:after="0" w:line="221" w:lineRule="auto"/>
            </w:pPr>
            <w:r>
              <w:rPr>
                <w:rFonts w:ascii="Times New Roman" w:hAnsi="Times New Roman"/>
                <w:sz w:val="13"/>
              </w:rPr>
              <w:t>Deut. 30:9–10</w:t>
            </w:r>
          </w:p>
        </w:tc>
        <w:tc>
          <w:tcPr>
            <w:tcW w:type="dxa" w:w="3561"/>
            <w:vAlign w:val="top"/>
          </w:tcPr>
          <w:p>
            <w:pPr>
              <w:spacing w:after="0" w:line="221" w:lineRule="auto"/>
            </w:pPr>
            <w:r>
              <w:rPr>
                <w:rFonts w:ascii="Times New Roman" w:hAnsi="Times New Roman"/>
                <w:sz w:val="13"/>
              </w:rPr>
              <w:t>renewed blessing</w:t>
            </w:r>
          </w:p>
        </w:tc>
        <w:tc>
          <w:tcPr>
            <w:tcW w:type="dxa" w:w="3561"/>
            <w:vAlign w:val="top"/>
          </w:tcPr>
          <w:p>
            <w:pPr>
              <w:spacing w:after="0" w:line="221" w:lineRule="auto"/>
            </w:pPr>
            <w:r>
              <w:rPr>
                <w:rFonts w:ascii="Times New Roman" w:hAnsi="Times New Roman"/>
                <w:sz w:val="13"/>
              </w:rPr>
              <w:t>Bound to renewed hearing/return.</w:t>
            </w:r>
          </w:p>
        </w:tc>
      </w:tr>
      <w:tr>
        <w:tc>
          <w:tcPr>
            <w:tcW w:type="dxa" w:w="3561"/>
            <w:vAlign w:val="top"/>
          </w:tcPr>
          <w:p>
            <w:pPr>
              <w:spacing w:after="0" w:line="221" w:lineRule="auto"/>
            </w:pPr>
            <w:r>
              <w:rPr>
                <w:rFonts w:ascii="Times New Roman" w:hAnsi="Times New Roman"/>
                <w:sz w:val="13"/>
              </w:rPr>
              <w:t>Deut. 30:11</w:t>
            </w:r>
          </w:p>
        </w:tc>
        <w:tc>
          <w:tcPr>
            <w:tcW w:type="dxa" w:w="3561"/>
            <w:vAlign w:val="top"/>
          </w:tcPr>
          <w:p>
            <w:pPr>
              <w:spacing w:after="0" w:line="221" w:lineRule="auto"/>
            </w:pPr>
            <w:r>
              <w:rPr>
                <w:rFonts w:ascii="Times New Roman" w:hAnsi="Times New Roman"/>
                <w:sz w:val="13"/>
              </w:rPr>
              <w:t>nifle’t</w:t>
            </w:r>
          </w:p>
        </w:tc>
        <w:tc>
          <w:tcPr>
            <w:tcW w:type="dxa" w:w="3561"/>
            <w:vAlign w:val="top"/>
          </w:tcPr>
          <w:p>
            <w:pPr>
              <w:spacing w:after="0" w:line="221" w:lineRule="auto"/>
            </w:pPr>
            <w:r>
              <w:rPr>
                <w:rFonts w:ascii="Times New Roman" w:hAnsi="Times New Roman"/>
                <w:sz w:val="13"/>
              </w:rPr>
              <w:t>Too difficult/extraordinary; not inaccessible.</w:t>
            </w:r>
          </w:p>
        </w:tc>
      </w:tr>
      <w:tr>
        <w:tc>
          <w:tcPr>
            <w:tcW w:type="dxa" w:w="3561"/>
            <w:vAlign w:val="top"/>
          </w:tcPr>
          <w:p>
            <w:pPr>
              <w:spacing w:after="0" w:line="221" w:lineRule="auto"/>
            </w:pPr>
            <w:r>
              <w:rPr>
                <w:rFonts w:ascii="Times New Roman" w:hAnsi="Times New Roman"/>
                <w:sz w:val="13"/>
              </w:rPr>
              <w:t>Deut. 30:12</w:t>
            </w:r>
          </w:p>
        </w:tc>
        <w:tc>
          <w:tcPr>
            <w:tcW w:type="dxa" w:w="3561"/>
            <w:vAlign w:val="top"/>
          </w:tcPr>
          <w:p>
            <w:pPr>
              <w:spacing w:after="0" w:line="221" w:lineRule="auto"/>
            </w:pPr>
            <w:r>
              <w:rPr>
                <w:rFonts w:ascii="Times New Roman" w:hAnsi="Times New Roman"/>
                <w:sz w:val="13"/>
              </w:rPr>
              <w:t>not in heaven</w:t>
            </w:r>
          </w:p>
        </w:tc>
        <w:tc>
          <w:tcPr>
            <w:tcW w:type="dxa" w:w="3561"/>
            <w:vAlign w:val="top"/>
          </w:tcPr>
          <w:p>
            <w:pPr>
              <w:spacing w:after="0" w:line="221" w:lineRule="auto"/>
            </w:pPr>
            <w:r>
              <w:rPr>
                <w:rFonts w:ascii="Times New Roman" w:hAnsi="Times New Roman"/>
                <w:sz w:val="13"/>
              </w:rPr>
              <w:t>No need to fetch revelation.</w:t>
            </w:r>
          </w:p>
        </w:tc>
      </w:tr>
      <w:tr>
        <w:tc>
          <w:tcPr>
            <w:tcW w:type="dxa" w:w="3561"/>
            <w:vAlign w:val="top"/>
          </w:tcPr>
          <w:p>
            <w:pPr>
              <w:spacing w:after="0" w:line="221" w:lineRule="auto"/>
            </w:pPr>
            <w:r>
              <w:rPr>
                <w:rFonts w:ascii="Times New Roman" w:hAnsi="Times New Roman"/>
                <w:sz w:val="13"/>
              </w:rPr>
              <w:t>Deut. 30:13</w:t>
            </w:r>
          </w:p>
        </w:tc>
        <w:tc>
          <w:tcPr>
            <w:tcW w:type="dxa" w:w="3561"/>
            <w:vAlign w:val="top"/>
          </w:tcPr>
          <w:p>
            <w:pPr>
              <w:spacing w:after="0" w:line="221" w:lineRule="auto"/>
            </w:pPr>
            <w:r>
              <w:rPr>
                <w:rFonts w:ascii="Times New Roman" w:hAnsi="Times New Roman"/>
                <w:sz w:val="13"/>
              </w:rPr>
              <w:t>not beyond sea</w:t>
            </w:r>
          </w:p>
        </w:tc>
        <w:tc>
          <w:tcPr>
            <w:tcW w:type="dxa" w:w="3561"/>
            <w:vAlign w:val="top"/>
          </w:tcPr>
          <w:p>
            <w:pPr>
              <w:spacing w:after="0" w:line="221" w:lineRule="auto"/>
            </w:pPr>
            <w:r>
              <w:rPr>
                <w:rFonts w:ascii="Times New Roman" w:hAnsi="Times New Roman"/>
                <w:sz w:val="13"/>
              </w:rPr>
              <w:t>No inaccessible journey required.</w:t>
            </w:r>
          </w:p>
        </w:tc>
      </w:tr>
      <w:tr>
        <w:tc>
          <w:tcPr>
            <w:tcW w:type="dxa" w:w="3561"/>
            <w:vAlign w:val="top"/>
          </w:tcPr>
          <w:p>
            <w:pPr>
              <w:spacing w:after="0" w:line="221" w:lineRule="auto"/>
            </w:pPr>
            <w:r>
              <w:rPr>
                <w:rFonts w:ascii="Times New Roman" w:hAnsi="Times New Roman"/>
                <w:sz w:val="13"/>
              </w:rPr>
              <w:t>Deut. 30:14</w:t>
            </w:r>
          </w:p>
        </w:tc>
        <w:tc>
          <w:tcPr>
            <w:tcW w:type="dxa" w:w="3561"/>
            <w:vAlign w:val="top"/>
          </w:tcPr>
          <w:p>
            <w:pPr>
              <w:spacing w:after="0" w:line="221" w:lineRule="auto"/>
            </w:pPr>
            <w:r>
              <w:rPr>
                <w:rFonts w:ascii="Times New Roman" w:hAnsi="Times New Roman"/>
                <w:sz w:val="13"/>
              </w:rPr>
              <w:t>mouth + heart</w:t>
            </w:r>
          </w:p>
        </w:tc>
        <w:tc>
          <w:tcPr>
            <w:tcW w:type="dxa" w:w="3561"/>
            <w:vAlign w:val="top"/>
          </w:tcPr>
          <w:p>
            <w:pPr>
              <w:spacing w:after="0" w:line="221" w:lineRule="auto"/>
            </w:pPr>
            <w:r>
              <w:rPr>
                <w:rFonts w:ascii="Times New Roman" w:hAnsi="Times New Roman"/>
                <w:sz w:val="13"/>
              </w:rPr>
              <w:t>Near enough to do.</w:t>
            </w:r>
          </w:p>
        </w:tc>
      </w:tr>
      <w:tr>
        <w:tc>
          <w:tcPr>
            <w:tcW w:type="dxa" w:w="3561"/>
            <w:vAlign w:val="top"/>
          </w:tcPr>
          <w:p>
            <w:pPr>
              <w:spacing w:after="0" w:line="221" w:lineRule="auto"/>
            </w:pPr>
            <w:r>
              <w:rPr>
                <w:rFonts w:ascii="Times New Roman" w:hAnsi="Times New Roman"/>
                <w:sz w:val="13"/>
              </w:rPr>
              <w:t>Rom. 10:6–8</w:t>
            </w:r>
          </w:p>
        </w:tc>
        <w:tc>
          <w:tcPr>
            <w:tcW w:type="dxa" w:w="3561"/>
            <w:vAlign w:val="top"/>
          </w:tcPr>
          <w:p>
            <w:pPr>
              <w:spacing w:after="0" w:line="221" w:lineRule="auto"/>
            </w:pPr>
            <w:r>
              <w:rPr>
                <w:rFonts w:ascii="Times New Roman" w:hAnsi="Times New Roman"/>
                <w:sz w:val="13"/>
              </w:rPr>
              <w:t>Pauline adaptation</w:t>
            </w:r>
          </w:p>
        </w:tc>
        <w:tc>
          <w:tcPr>
            <w:tcW w:type="dxa" w:w="3561"/>
            <w:vAlign w:val="top"/>
          </w:tcPr>
          <w:p>
            <w:pPr>
              <w:spacing w:after="0" w:line="221" w:lineRule="auto"/>
            </w:pPr>
            <w:r>
              <w:rPr>
                <w:rFonts w:ascii="Times New Roman" w:hAnsi="Times New Roman"/>
                <w:sz w:val="13"/>
              </w:rPr>
              <w:t>Christological apostolic use, not identical lexical wording.</w:t>
            </w:r>
          </w:p>
        </w:tc>
      </w:tr>
      <w:tr>
        <w:tc>
          <w:tcPr>
            <w:tcW w:type="dxa" w:w="3561"/>
            <w:vAlign w:val="top"/>
          </w:tcPr>
          <w:p>
            <w:pPr>
              <w:spacing w:after="0" w:line="221" w:lineRule="auto"/>
            </w:pPr>
            <w:r>
              <w:rPr>
                <w:rFonts w:ascii="Times New Roman" w:hAnsi="Times New Roman"/>
                <w:sz w:val="13"/>
              </w:rPr>
              <w:t>Deut. 30:19</w:t>
            </w:r>
          </w:p>
        </w:tc>
        <w:tc>
          <w:tcPr>
            <w:tcW w:type="dxa" w:w="3561"/>
            <w:vAlign w:val="top"/>
          </w:tcPr>
          <w:p>
            <w:pPr>
              <w:spacing w:after="0" w:line="221" w:lineRule="auto"/>
            </w:pPr>
            <w:r>
              <w:rPr>
                <w:rFonts w:ascii="Times New Roman" w:hAnsi="Times New Roman"/>
                <w:sz w:val="13"/>
              </w:rPr>
              <w:t>choose life</w:t>
            </w:r>
          </w:p>
        </w:tc>
        <w:tc>
          <w:tcPr>
            <w:tcW w:type="dxa" w:w="3561"/>
            <w:vAlign w:val="top"/>
          </w:tcPr>
          <w:p>
            <w:pPr>
              <w:spacing w:after="0" w:line="221" w:lineRule="auto"/>
            </w:pPr>
            <w:r>
              <w:rPr>
                <w:rFonts w:ascii="Times New Roman" w:hAnsi="Times New Roman"/>
                <w:sz w:val="13"/>
              </w:rPr>
              <w:t>Heaven/earth witnesses.</w:t>
            </w:r>
          </w:p>
        </w:tc>
      </w:tr>
      <w:tr>
        <w:tc>
          <w:tcPr>
            <w:tcW w:type="dxa" w:w="3561"/>
            <w:vAlign w:val="top"/>
          </w:tcPr>
          <w:p>
            <w:pPr>
              <w:spacing w:after="0" w:line="221" w:lineRule="auto"/>
            </w:pPr>
            <w:r>
              <w:rPr>
                <w:rFonts w:ascii="Times New Roman" w:hAnsi="Times New Roman"/>
                <w:sz w:val="13"/>
              </w:rPr>
              <w:t>Deut. 30:20</w:t>
            </w:r>
          </w:p>
        </w:tc>
        <w:tc>
          <w:tcPr>
            <w:tcW w:type="dxa" w:w="3561"/>
            <w:vAlign w:val="top"/>
          </w:tcPr>
          <w:p>
            <w:pPr>
              <w:spacing w:after="0" w:line="221" w:lineRule="auto"/>
            </w:pPr>
            <w:r>
              <w:rPr>
                <w:rFonts w:ascii="Times New Roman" w:hAnsi="Times New Roman"/>
                <w:sz w:val="13"/>
              </w:rPr>
              <w:t>he is thy life</w:t>
            </w:r>
          </w:p>
        </w:tc>
        <w:tc>
          <w:tcPr>
            <w:tcW w:type="dxa" w:w="3561"/>
            <w:vAlign w:val="top"/>
          </w:tcPr>
          <w:p>
            <w:pPr>
              <w:spacing w:after="0" w:line="221" w:lineRule="auto"/>
            </w:pPr>
            <w:r>
              <w:rPr>
                <w:rFonts w:ascii="Times New Roman" w:hAnsi="Times New Roman"/>
                <w:sz w:val="13"/>
              </w:rPr>
              <w:t>Yahweh is the source and substance of covenant life.</w:t>
            </w:r>
          </w:p>
        </w:tc>
      </w:tr>
    </w:tbl>
    <w:p>
      <w:pPr>
        <w:pStyle w:val="Heading1"/>
      </w:pPr>
      <w:r>
        <w:t>RESIDUAL UNCERTAINTIES</w:t>
      </w:r>
    </w:p>
    <w:p>
      <w:pPr/>
      <w:r>
        <w:rPr>
          <w:i w:val="0"/>
        </w:rPr>
        <w:t>The precise prophetic staging of Israel’s ultimate restoration is developed differently across interpretative systems; Deuteronomy 30 itself promises return, regathering, heart transformation and obedience without specifying Mansfield’s detailed modern or future itinerary.</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DEUTERONOMY 30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7"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2" w:after="10"/>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28" w:after="10"/>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