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31</w:t>
      </w:r>
    </w:p>
    <w:p>
      <w:pPr>
        <w:pStyle w:val="Subtitle"/>
      </w:pPr>
      <w:r>
        <w:t>MOSES 120 — NOT A PROVEN BIRTHDAY • YAHWEH AND JOSHUA GO BEFORE ISRAEL • BE STRONG AND COURAGEOUS • THE LAW WRITTEN AND READ EVERY SEVENTH YEAR • ALL GENERATIONS MUST HEAR • APOSTASY FORETOLD • THE SONG AS WITNESS • THE LAW-BOOK BESIDE THE ARK</w:t>
      </w:r>
    </w:p>
    <w:p>
      <w:pPr/>
      <w:r>
        <w:rPr>
          <w:i/>
        </w:rPr>
        <w:t>H. P. Mansfield Bible notes — checked and arranged in verse-by-verse Expositor style</w:t>
      </w:r>
    </w:p>
    <w:p>
      <w:pPr/>
      <w:r>
        <w:rPr>
          <w:i w:val="0"/>
        </w:rPr>
        <w:t>Source: HPB 04-Deu01-Jud04.PDF pp. 48–49; cross-checked with Mansfield’s Deuteronomy Expositor Chapter 31 and Deuteronomy 34.</w:t>
      </w:r>
    </w:p>
    <w:p>
      <w:pPr>
        <w:pStyle w:val="Heading1"/>
      </w:pPr>
      <w:r>
        <w:t>CHAPTER OVERVIEW</w:t>
      </w:r>
    </w:p>
    <w:p>
      <w:pPr/>
      <w:r>
        <w:rPr>
          <w:i w:val="0"/>
        </w:rPr>
        <w:t>Leadership changes, but Yahweh and His word remain. Moses publicly transfers responsibility to Joshua, commissions priests and elders to preserve the written law, and orders periodic reading to the whole covenant community.</w:t>
      </w:r>
    </w:p>
    <w:p>
      <w:pPr/>
      <w:r>
        <w:rPr>
          <w:i w:val="0"/>
        </w:rPr>
        <w:t>The chapter refuses sentimental optimism about Israel’s future: Yahweh foretells apostasy and commands a Song that will remain as witness. The answer to the death of a great leader is not personality preservation but continued hearing of Yahweh’s word.</w:t>
      </w:r>
    </w:p>
    <w:p>
      <w:pPr>
        <w:pStyle w:val="Heading1"/>
      </w:pPr>
      <w:r>
        <w:t>MOSES’ AGE AND LIMITATION — DEUTERONOMY 31:1–2</w:t>
      </w:r>
    </w:p>
    <w:p>
      <w:pPr>
        <w:pStyle w:val="Heading2"/>
      </w:pPr>
      <w:r>
        <w:t>Deuteronomy 31:1–2 — 120 years old “this day”</w:t>
      </w:r>
    </w:p>
    <w:p>
      <w:pPr/>
      <w:r>
        <w:rPr>
          <w:i w:val="0"/>
        </w:rPr>
        <w:t>Moses states, “I am an hundred and twenty years old this day,” and says he can no longer go out and come in; Yahweh has also forbidden him to cross Jordan.</w:t>
      </w:r>
    </w:p>
    <w:p>
      <w:pPr/>
      <w:r>
        <w:rPr>
          <w:i w:val="0"/>
        </w:rPr>
        <w:t>The wording does not establish that this was Moses’ birthday. Mansfield’s claim that Deuteronomy 1:3, 31:2 and Moses’ death all occurred on his birthday is not stated by Scripture.</w:t>
      </w:r>
    </w:p>
    <w:p>
      <w:pPr>
        <w:pStyle w:val="Heading2"/>
      </w:pPr>
      <w:r>
        <w:t>Deuteronomy 31:2 — not physical collapse</w:t>
      </w:r>
    </w:p>
    <w:p>
      <w:pPr/>
      <w:r>
        <w:rPr>
          <w:i w:val="0"/>
        </w:rPr>
        <w:t>“I can no more go out and come in” can describe inability to continue exercising leadership rather than bodily incapacity.</w:t>
      </w:r>
    </w:p>
    <w:p>
      <w:pPr/>
      <w:r>
        <w:rPr>
          <w:i w:val="0"/>
        </w:rPr>
        <w:t>Deuteronomy 34:7 explicitly says at death Moses’ eye was not dim and his natural force/vigour had not abated. Mansfield’s statement that he was already feeling age-related physical weakening should therefore be qualified.</w:t>
      </w:r>
    </w:p>
    <w:p>
      <w:pPr>
        <w:pStyle w:val="Heading1"/>
      </w:pPr>
      <w:r>
        <w:t>YAHWEH AND JOSHUA GO BEFORE — DEUTERONOMY 31:3–8</w:t>
      </w:r>
    </w:p>
    <w:p>
      <w:pPr>
        <w:pStyle w:val="Heading2"/>
      </w:pPr>
      <w:r>
        <w:t>Deuteronomy 31:3–5 — Yahweh goes over</w:t>
      </w:r>
    </w:p>
    <w:p>
      <w:pPr/>
      <w:r>
        <w:rPr>
          <w:i w:val="0"/>
        </w:rPr>
        <w:t>Yahweh Himself is the stated leader who goes before Israel and gives the nations into its hand; Joshua goes before the people as appointed successor.</w:t>
      </w:r>
    </w:p>
    <w:p>
      <w:pPr/>
      <w:r>
        <w:rPr>
          <w:i w:val="0"/>
        </w:rPr>
        <w:t>Angelic mediation forms part of the wider Exodus theology, but the exposition should not replace the explicit subject “Yahweh” with an angel.</w:t>
      </w:r>
    </w:p>
    <w:p>
      <w:pPr>
        <w:pStyle w:val="Heading2"/>
      </w:pPr>
      <w:r>
        <w:t>Deuteronomy 31:6 — courage grounded in presence</w:t>
      </w:r>
    </w:p>
    <w:p>
      <w:pPr/>
      <w:r>
        <w:rPr>
          <w:i w:val="0"/>
        </w:rPr>
        <w:t>Israel is commanded to be strong and courageous because Yahweh will not fail or forsake them.</w:t>
      </w:r>
    </w:p>
    <w:p>
      <w:pPr>
        <w:pStyle w:val="Heading2"/>
      </w:pPr>
      <w:r>
        <w:t>Deuteronomy 31:7–8 — Joshua charged publicly</w:t>
      </w:r>
    </w:p>
    <w:p>
      <w:pPr/>
      <w:r>
        <w:rPr>
          <w:i w:val="0"/>
        </w:rPr>
        <w:t>Moses charges Joshua in sight of all Israel. Yahweh goes before Joshua, remains with him, and therefore fear and dismay are unnecessary.</w:t>
      </w:r>
    </w:p>
    <w:p>
      <w:pPr/>
      <w:r>
        <w:rPr>
          <w:i w:val="0"/>
        </w:rPr>
        <w:t>Joshua’s name (`Yehoshua`) expresses Yahweh is salvation / Yahweh saves, making later typological comparison with Jesus appropriate without reducing the historical Joshua to symbolism.</w:t>
      </w:r>
    </w:p>
    <w:p>
      <w:pPr>
        <w:pStyle w:val="Heading1"/>
      </w:pPr>
      <w:r>
        <w:t>THE WRITTEN LAW AND SEVENTH-YEAR READING — DEUTERONOMY 31:9–13</w:t>
      </w:r>
    </w:p>
    <w:p>
      <w:pPr>
        <w:pStyle w:val="Heading2"/>
      </w:pPr>
      <w:r>
        <w:t>Deuteronomy 31:9 — Moses wrote “this law”</w:t>
      </w:r>
    </w:p>
    <w:p>
      <w:pPr/>
      <w:r>
        <w:rPr>
          <w:i w:val="0"/>
        </w:rPr>
        <w:t>Moses writes `hattorah hazzot`, this law, and gives it to priests who bear the covenant Ark and to Israel’s elders.</w:t>
      </w:r>
    </w:p>
    <w:p>
      <w:pPr/>
      <w:r>
        <w:rPr>
          <w:i w:val="0"/>
        </w:rPr>
        <w:t>The precise literary extent meant by “this law” is debated; the verse explicitly attributes a written Torah corpus to Moses but does not by itself define modern Pentateuchal page boundaries.</w:t>
      </w:r>
    </w:p>
    <w:p>
      <w:pPr>
        <w:pStyle w:val="Heading2"/>
      </w:pPr>
      <w:r>
        <w:t>Deuteronomy 31:10–11 — year of release, Feast of Tabernacles</w:t>
      </w:r>
    </w:p>
    <w:p>
      <w:pPr/>
      <w:r>
        <w:rPr>
          <w:i w:val="0"/>
        </w:rPr>
        <w:t>At the end of every seven years, during the release year at Tabernacles, this law is read publicly at Yahweh’s chosen place.</w:t>
      </w:r>
    </w:p>
    <w:p>
      <w:pPr/>
      <w:r>
        <w:rPr>
          <w:i w:val="0"/>
        </w:rPr>
        <w:t>Mansfield’s “civil year beginning Tishri / religious year beginning Abib” formulation reflects later Jewish calendar terminology. Torah itself calls Abib the first month; the seventh-month festival sequence is sufficient for the present text.</w:t>
      </w:r>
    </w:p>
    <w:p>
      <w:pPr>
        <w:pStyle w:val="Heading2"/>
      </w:pPr>
      <w:r>
        <w:t>Deuteronomy 31:12 — men, women, little ones and stranger</w:t>
      </w:r>
    </w:p>
    <w:p>
      <w:pPr/>
      <w:r>
        <w:rPr>
          <w:i w:val="0"/>
        </w:rPr>
        <w:t>All are gathered to hear, learn, fear Yahweh and observe the law.</w:t>
      </w:r>
    </w:p>
    <w:p>
      <w:pPr/>
      <w:r>
        <w:rPr>
          <w:i w:val="0"/>
        </w:rPr>
        <w:t>`Taph` is a collective term for little ones/young children. Mansfield’s claim that Hebrew singular grammar deliberately means “the one child must not be overlooked” is not a secure grammatical inference.</w:t>
      </w:r>
    </w:p>
    <w:p>
      <w:pPr>
        <w:pStyle w:val="Heading2"/>
      </w:pPr>
      <w:r>
        <w:t>Deuteronomy 31:13 — children who did not know</w:t>
      </w:r>
    </w:p>
    <w:p>
      <w:pPr/>
      <w:r>
        <w:rPr>
          <w:i w:val="0"/>
        </w:rPr>
        <w:t>Future children must hear so covenant knowledge does not depend upon personal memory of the Exodus generation.</w:t>
      </w:r>
    </w:p>
    <w:p>
      <w:pPr>
        <w:pStyle w:val="Heading1"/>
      </w:pPr>
      <w:r>
        <w:t>JOSHUA PRESENTED BEFORE YAHWEH — DEUTERONOMY 31:14–15</w:t>
      </w:r>
    </w:p>
    <w:p>
      <w:pPr>
        <w:pStyle w:val="Heading2"/>
      </w:pPr>
      <w:r>
        <w:t>Deuteronomy 31:14 — Tent of Meeting</w:t>
      </w:r>
    </w:p>
    <w:p>
      <w:pPr/>
      <w:r>
        <w:rPr>
          <w:i w:val="0"/>
        </w:rPr>
        <w:t>Moses and Joshua present themselves at the `ohel mo‘ed`, Tent of Meeting, for Joshua’s Divine commissioning.</w:t>
      </w:r>
    </w:p>
    <w:p>
      <w:pPr/>
      <w:r>
        <w:rPr>
          <w:i w:val="0"/>
        </w:rPr>
        <w:t>`Mo‘ed` denotes appointed meeting/time. “Tent of Meeting” is more precise than treating the phrase simply as a tabernacle for scheduled worship.</w:t>
      </w:r>
    </w:p>
    <w:p>
      <w:pPr>
        <w:pStyle w:val="Heading2"/>
      </w:pPr>
      <w:r>
        <w:t>Deuteronomy 31:15 — pillar of cloud</w:t>
      </w:r>
    </w:p>
    <w:p>
      <w:pPr/>
      <w:r>
        <w:rPr>
          <w:i w:val="0"/>
        </w:rPr>
        <w:t>Yahweh appears in the pillar of cloud at the tent entrance, giving visible ratification of the leadership transition.</w:t>
      </w:r>
    </w:p>
    <w:p>
      <w:pPr>
        <w:pStyle w:val="Heading1"/>
      </w:pPr>
      <w:r>
        <w:t>APOSTASY FORETOLD — DEUTERONOMY 31:16–18</w:t>
      </w:r>
    </w:p>
    <w:p>
      <w:pPr>
        <w:pStyle w:val="Heading2"/>
      </w:pPr>
      <w:r>
        <w:t>Deuteronomy 31:16 — “sleep with thy fathers”</w:t>
      </w:r>
    </w:p>
    <w:p>
      <w:pPr/>
      <w:r>
        <w:rPr>
          <w:i w:val="0"/>
        </w:rPr>
        <w:t>Yahweh tells Moses he will lie down/sleep with his fathers and Israel will rise and go after foreign gods.</w:t>
      </w:r>
    </w:p>
    <w:p>
      <w:pPr/>
      <w:r>
        <w:rPr>
          <w:i w:val="0"/>
        </w:rPr>
        <w:t>The phrase is a biblical idiom for death and burial among one’s people; it does not by itself teach conscious existence after death.</w:t>
      </w:r>
    </w:p>
    <w:p>
      <w:pPr>
        <w:pStyle w:val="Heading2"/>
      </w:pPr>
      <w:r>
        <w:t>Deuteronomy 31:17–18 — hidden face</w:t>
      </w:r>
    </w:p>
    <w:p>
      <w:pPr/>
      <w:r>
        <w:rPr>
          <w:i w:val="0"/>
        </w:rPr>
        <w:t>Israel’s covenant abandonment brings Divine anger and the hiding of Yahweh’s face. The resulting evils lead the people to ask whether God is no longer among them.</w:t>
      </w:r>
    </w:p>
    <w:p>
      <w:pPr/>
      <w:r>
        <w:rPr>
          <w:i w:val="0"/>
        </w:rPr>
        <w:t>The tragedy is covenant breach, not failure of Yahweh’s promises.</w:t>
      </w:r>
    </w:p>
    <w:p>
      <w:pPr>
        <w:pStyle w:val="Heading1"/>
      </w:pPr>
      <w:r>
        <w:t>THE SONG AS WITNESS — DEUTERONOMY 31:19–23</w:t>
      </w:r>
    </w:p>
    <w:p>
      <w:pPr>
        <w:pStyle w:val="Heading2"/>
      </w:pPr>
      <w:r>
        <w:t>Deuteronomy 31:19 — write and teach the Song</w:t>
      </w:r>
    </w:p>
    <w:p>
      <w:pPr/>
      <w:r>
        <w:rPr>
          <w:i w:val="0"/>
        </w:rPr>
        <w:t>Moses is commanded to write the Song and teach it to Israel so it stands as a witness.</w:t>
      </w:r>
    </w:p>
    <w:p>
      <w:pPr>
        <w:pStyle w:val="Heading2"/>
      </w:pPr>
      <w:r>
        <w:t>Deuteronomy 31:20–21 — prosperity can feed apostasy</w:t>
      </w:r>
    </w:p>
    <w:p>
      <w:pPr/>
      <w:r>
        <w:rPr>
          <w:i w:val="0"/>
        </w:rPr>
        <w:t>After Israel eats, is filled and grows fat, it may turn to other gods. The Song will remain in descendants’ mouths as testimony that Yahweh warned beforehand.</w:t>
      </w:r>
    </w:p>
    <w:p>
      <w:pPr/>
      <w:r>
        <w:rPr>
          <w:i w:val="0"/>
        </w:rPr>
        <w:t>The verse uses `yetzer`, inclination/formation, for the disposition Yahweh already knows; the term need not be turned into a complete doctrine of inherited moral nature by itself.</w:t>
      </w:r>
    </w:p>
    <w:p>
      <w:pPr>
        <w:pStyle w:val="Heading2"/>
      </w:pPr>
      <w:r>
        <w:t>Deuteronomy 31:23 — Joshua charged by Yahweh</w:t>
      </w:r>
    </w:p>
    <w:p>
      <w:pPr/>
      <w:r>
        <w:rPr>
          <w:i w:val="0"/>
        </w:rPr>
        <w:t>Joshua receives the Divine charge to be strong and courageous and the promise “I will be with thee.”</w:t>
      </w:r>
    </w:p>
    <w:p>
      <w:pPr>
        <w:pStyle w:val="Heading1"/>
      </w:pPr>
      <w:r>
        <w:t>THE BOOK OF THE LAW BESIDE THE ARK — DEUTERONOMY 31:24–27</w:t>
      </w:r>
    </w:p>
    <w:p>
      <w:pPr>
        <w:pStyle w:val="Heading2"/>
      </w:pPr>
      <w:r>
        <w:t>Deuteronomy 31:24 — Moses completes writing</w:t>
      </w:r>
    </w:p>
    <w:p>
      <w:pPr/>
      <w:r>
        <w:rPr>
          <w:i w:val="0"/>
        </w:rPr>
        <w:t>Moses finishes writing the words of the law in a book.</w:t>
      </w:r>
    </w:p>
    <w:p>
      <w:pPr>
        <w:pStyle w:val="Heading2"/>
      </w:pPr>
      <w:r>
        <w:t>Deuteronomy 31:25–26 — `mitsad aron`</w:t>
      </w:r>
    </w:p>
    <w:p>
      <w:pPr/>
      <w:r>
        <w:rPr>
          <w:i w:val="0"/>
        </w:rPr>
        <w:t>The Levites are told to take the book and place it `mitsad aron berit-YHWH`, at/beside the side of the Ark of Yahweh’s covenant, so it may be a witness.</w:t>
      </w:r>
    </w:p>
    <w:p>
      <w:pPr/>
      <w:r>
        <w:rPr>
          <w:i w:val="0"/>
        </w:rPr>
        <w:t>KJV “put it in the side of the ark” can sound as though the book was stored inside. The Hebrew means beside/at the side of the Ark. The stone tablets are the objects explicitly placed inside the Ark elsewhere.</w:t>
      </w:r>
    </w:p>
    <w:p>
      <w:pPr>
        <w:pStyle w:val="Heading2"/>
      </w:pPr>
      <w:r>
        <w:t>Deuteronomy 31:27 — rebellion already known</w:t>
      </w:r>
    </w:p>
    <w:p>
      <w:pPr/>
      <w:r>
        <w:rPr>
          <w:i w:val="0"/>
        </w:rPr>
        <w:t>Moses reminds Israel that rebellion and stiffneckedness were visible even while he remained alive.</w:t>
      </w:r>
    </w:p>
    <w:p>
      <w:pPr>
        <w:pStyle w:val="Heading1"/>
      </w:pPr>
      <w:r>
        <w:t>HEAVEN AND EARTH HEAR THE FINAL WARNING — DEUTERONOMY 31:28–30</w:t>
      </w:r>
    </w:p>
    <w:p>
      <w:pPr>
        <w:pStyle w:val="Heading2"/>
      </w:pPr>
      <w:r>
        <w:t>Deuteronomy 31:28 — covenant witnesses summoned</w:t>
      </w:r>
    </w:p>
    <w:p>
      <w:pPr/>
      <w:r>
        <w:rPr>
          <w:i w:val="0"/>
        </w:rPr>
        <w:t>Elders and officers assemble and heaven and earth are called to witness.</w:t>
      </w:r>
    </w:p>
    <w:p>
      <w:pPr>
        <w:pStyle w:val="Heading2"/>
      </w:pPr>
      <w:r>
        <w:t>Deuteronomy 31:29 — “latter days”</w:t>
      </w:r>
    </w:p>
    <w:p>
      <w:pPr/>
      <w:r>
        <w:rPr>
          <w:i w:val="0"/>
        </w:rPr>
        <w:t>Moses predicts later corruption and evil `be’acharit hayyamim`, in latter/coming days.</w:t>
      </w:r>
    </w:p>
    <w:p>
      <w:pPr/>
      <w:r>
        <w:rPr>
          <w:i w:val="0"/>
        </w:rPr>
        <w:t>The phrase can point to a future culmination but does not automatically mean only the final generation of world history in every occurrence.</w:t>
      </w:r>
    </w:p>
    <w:p>
      <w:pPr>
        <w:pStyle w:val="Heading2"/>
      </w:pPr>
      <w:r>
        <w:t>Deuteronomy 31:30 — Song introduced</w:t>
      </w:r>
    </w:p>
    <w:p>
      <w:pPr/>
      <w:r>
        <w:rPr>
          <w:i w:val="0"/>
        </w:rPr>
        <w:t>Moses speaks the Song in the hearing of Israel, leading directly into chapter 32.</w:t>
      </w:r>
    </w:p>
    <w:p>
      <w:pPr>
        <w:pStyle w:val="Heading1"/>
      </w:pPr>
      <w:r>
        <w:t>PRINCIPAL THEMES</w:t>
      </w:r>
    </w:p>
    <w:p>
      <w:pPr>
        <w:ind w:left="259" w:hanging="202"/>
      </w:pPr>
      <w:r>
        <w:rPr>
          <w:b/>
        </w:rPr>
        <w:t xml:space="preserve">• </w:t>
      </w:r>
      <w:r>
        <w:t>Moses was 120 “this day,” but the text does not prove it was his birthday.</w:t>
      </w:r>
    </w:p>
    <w:p>
      <w:pPr>
        <w:ind w:left="259" w:hanging="202"/>
      </w:pPr>
      <w:r>
        <w:rPr>
          <w:b/>
        </w:rPr>
        <w:t xml:space="preserve">• </w:t>
      </w:r>
      <w:r>
        <w:t>Deuteronomy 34:7 argues against explaining 31:2 as bodily failure.</w:t>
      </w:r>
    </w:p>
    <w:p>
      <w:pPr>
        <w:ind w:left="259" w:hanging="202"/>
      </w:pPr>
      <w:r>
        <w:rPr>
          <w:b/>
        </w:rPr>
        <w:t xml:space="preserve">• </w:t>
      </w:r>
      <w:r>
        <w:t>Yahweh remains the explicit leader who goes before Israel.</w:t>
      </w:r>
    </w:p>
    <w:p>
      <w:pPr>
        <w:ind w:left="259" w:hanging="202"/>
      </w:pPr>
      <w:r>
        <w:rPr>
          <w:b/>
        </w:rPr>
        <w:t xml:space="preserve">• </w:t>
      </w:r>
      <w:r>
        <w:t>The scope of “this law” written by Moses is real but literarily debated.</w:t>
      </w:r>
    </w:p>
    <w:p>
      <w:pPr>
        <w:ind w:left="259" w:hanging="202"/>
      </w:pPr>
      <w:r>
        <w:rPr>
          <w:b/>
        </w:rPr>
        <w:t xml:space="preserve">• </w:t>
      </w:r>
      <w:r>
        <w:t>Later civil/religious-year terminology should not be imposed unnecessarily on the Torah.</w:t>
      </w:r>
    </w:p>
    <w:p>
      <w:pPr>
        <w:ind w:left="259" w:hanging="202"/>
      </w:pPr>
      <w:r>
        <w:rPr>
          <w:b/>
        </w:rPr>
        <w:t xml:space="preserve">• </w:t>
      </w:r>
      <w:r>
        <w:t>`Taph` is a collective for little ones; Mansfield’s “one child” grammatical claim is insecure.</w:t>
      </w:r>
    </w:p>
    <w:p>
      <w:pPr>
        <w:ind w:left="259" w:hanging="202"/>
      </w:pPr>
      <w:r>
        <w:rPr>
          <w:b/>
        </w:rPr>
        <w:t xml:space="preserve">• </w:t>
      </w:r>
      <w:r>
        <w:t>`Ohel mo‘ed` is the Tent of Meeting.</w:t>
      </w:r>
    </w:p>
    <w:p>
      <w:pPr>
        <w:ind w:left="259" w:hanging="202"/>
      </w:pPr>
      <w:r>
        <w:rPr>
          <w:b/>
        </w:rPr>
        <w:t xml:space="preserve">• </w:t>
      </w:r>
      <w:r>
        <w:t>Sleeping with the fathers is a death idiom.</w:t>
      </w:r>
    </w:p>
    <w:p>
      <w:pPr>
        <w:ind w:left="259" w:hanging="202"/>
      </w:pPr>
      <w:r>
        <w:rPr>
          <w:b/>
        </w:rPr>
        <w:t xml:space="preserve">• </w:t>
      </w:r>
      <w:r>
        <w:t>The Song functions as a covenant witness against foreknown apostasy.</w:t>
      </w:r>
    </w:p>
    <w:p>
      <w:pPr>
        <w:ind w:left="259" w:hanging="202"/>
      </w:pPr>
      <w:r>
        <w:rPr>
          <w:b/>
        </w:rPr>
        <w:t xml:space="preserve">• </w:t>
      </w:r>
      <w:r>
        <w:t>`Yetzer` is inclination/formation and should not carry more theology than the verse gives it.</w:t>
      </w:r>
    </w:p>
    <w:p>
      <w:pPr>
        <w:ind w:left="259" w:hanging="202"/>
      </w:pPr>
      <w:r>
        <w:rPr>
          <w:b/>
        </w:rPr>
        <w:t xml:space="preserve">• </w:t>
      </w:r>
      <w:r>
        <w:t>The Law-book is placed beside the Ark, not inside it.</w:t>
      </w:r>
    </w:p>
    <w:p>
      <w:pPr>
        <w:ind w:left="259" w:hanging="202"/>
      </w:pPr>
      <w:r>
        <w:rPr>
          <w:b/>
        </w:rPr>
        <w:t xml:space="preserve">• </w:t>
      </w:r>
      <w:r>
        <w:t>“Latter days” means future/later days in context and should not automatically be narrowed to the absolute end time.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3"/>
              </w:rPr>
              <w:t>Deut. 31:2</w:t>
            </w:r>
          </w:p>
        </w:tc>
        <w:tc>
          <w:tcPr>
            <w:tcW w:type="dxa" w:w="3561"/>
            <w:vAlign w:val="top"/>
          </w:tcPr>
          <w:p>
            <w:pPr>
              <w:spacing w:after="0" w:line="221" w:lineRule="auto"/>
            </w:pPr>
            <w:r>
              <w:rPr>
                <w:rFonts w:ascii="Times New Roman" w:hAnsi="Times New Roman"/>
                <w:sz w:val="13"/>
              </w:rPr>
              <w:t>120 years ‘this day’</w:t>
            </w:r>
          </w:p>
        </w:tc>
        <w:tc>
          <w:tcPr>
            <w:tcW w:type="dxa" w:w="3561"/>
            <w:vAlign w:val="top"/>
          </w:tcPr>
          <w:p>
            <w:pPr>
              <w:spacing w:after="0" w:line="221" w:lineRule="auto"/>
            </w:pPr>
            <w:r>
              <w:rPr>
                <w:rFonts w:ascii="Times New Roman" w:hAnsi="Times New Roman"/>
                <w:sz w:val="13"/>
              </w:rPr>
              <w:t>No explicit birthday statement.</w:t>
            </w:r>
          </w:p>
        </w:tc>
      </w:tr>
      <w:tr>
        <w:tc>
          <w:tcPr>
            <w:tcW w:type="dxa" w:w="3561"/>
            <w:vAlign w:val="top"/>
          </w:tcPr>
          <w:p>
            <w:pPr>
              <w:spacing w:after="0" w:line="221" w:lineRule="auto"/>
            </w:pPr>
            <w:r>
              <w:rPr>
                <w:rFonts w:ascii="Times New Roman" w:hAnsi="Times New Roman"/>
                <w:sz w:val="13"/>
              </w:rPr>
              <w:t>Deut. 34:7</w:t>
            </w:r>
          </w:p>
        </w:tc>
        <w:tc>
          <w:tcPr>
            <w:tcW w:type="dxa" w:w="3561"/>
            <w:vAlign w:val="top"/>
          </w:tcPr>
          <w:p>
            <w:pPr>
              <w:spacing w:after="0" w:line="221" w:lineRule="auto"/>
            </w:pPr>
            <w:r>
              <w:rPr>
                <w:rFonts w:ascii="Times New Roman" w:hAnsi="Times New Roman"/>
                <w:sz w:val="13"/>
              </w:rPr>
              <w:t>vigour unabated</w:t>
            </w:r>
          </w:p>
        </w:tc>
        <w:tc>
          <w:tcPr>
            <w:tcW w:type="dxa" w:w="3561"/>
            <w:vAlign w:val="top"/>
          </w:tcPr>
          <w:p>
            <w:pPr>
              <w:spacing w:after="0" w:line="221" w:lineRule="auto"/>
            </w:pPr>
            <w:r>
              <w:rPr>
                <w:rFonts w:ascii="Times New Roman" w:hAnsi="Times New Roman"/>
                <w:sz w:val="13"/>
              </w:rPr>
              <w:t>Qualifies physical-weakness reading of 31:2.</w:t>
            </w:r>
          </w:p>
        </w:tc>
      </w:tr>
      <w:tr>
        <w:tc>
          <w:tcPr>
            <w:tcW w:type="dxa" w:w="3561"/>
            <w:vAlign w:val="top"/>
          </w:tcPr>
          <w:p>
            <w:pPr>
              <w:spacing w:after="0" w:line="221" w:lineRule="auto"/>
            </w:pPr>
            <w:r>
              <w:rPr>
                <w:rFonts w:ascii="Times New Roman" w:hAnsi="Times New Roman"/>
                <w:sz w:val="13"/>
              </w:rPr>
              <w:t>Deut. 31:3</w:t>
            </w:r>
          </w:p>
        </w:tc>
        <w:tc>
          <w:tcPr>
            <w:tcW w:type="dxa" w:w="3561"/>
            <w:vAlign w:val="top"/>
          </w:tcPr>
          <w:p>
            <w:pPr>
              <w:spacing w:after="0" w:line="221" w:lineRule="auto"/>
            </w:pPr>
            <w:r>
              <w:rPr>
                <w:rFonts w:ascii="Times New Roman" w:hAnsi="Times New Roman"/>
                <w:sz w:val="13"/>
              </w:rPr>
              <w:t>Yahweh goes before</w:t>
            </w:r>
          </w:p>
        </w:tc>
        <w:tc>
          <w:tcPr>
            <w:tcW w:type="dxa" w:w="3561"/>
            <w:vAlign w:val="top"/>
          </w:tcPr>
          <w:p>
            <w:pPr>
              <w:spacing w:after="0" w:line="221" w:lineRule="auto"/>
            </w:pPr>
            <w:r>
              <w:rPr>
                <w:rFonts w:ascii="Times New Roman" w:hAnsi="Times New Roman"/>
                <w:sz w:val="13"/>
              </w:rPr>
              <w:t>Do not replace textual subject with angel.</w:t>
            </w:r>
          </w:p>
        </w:tc>
      </w:tr>
      <w:tr>
        <w:tc>
          <w:tcPr>
            <w:tcW w:type="dxa" w:w="3561"/>
            <w:vAlign w:val="top"/>
          </w:tcPr>
          <w:p>
            <w:pPr>
              <w:spacing w:after="0" w:line="221" w:lineRule="auto"/>
            </w:pPr>
            <w:r>
              <w:rPr>
                <w:rFonts w:ascii="Times New Roman" w:hAnsi="Times New Roman"/>
                <w:sz w:val="13"/>
              </w:rPr>
              <w:t>Deut. 31:7–8</w:t>
            </w:r>
          </w:p>
        </w:tc>
        <w:tc>
          <w:tcPr>
            <w:tcW w:type="dxa" w:w="3561"/>
            <w:vAlign w:val="top"/>
          </w:tcPr>
          <w:p>
            <w:pPr>
              <w:spacing w:after="0" w:line="221" w:lineRule="auto"/>
            </w:pPr>
            <w:r>
              <w:rPr>
                <w:rFonts w:ascii="Times New Roman" w:hAnsi="Times New Roman"/>
                <w:sz w:val="13"/>
              </w:rPr>
              <w:t>Joshua charged</w:t>
            </w:r>
          </w:p>
        </w:tc>
        <w:tc>
          <w:tcPr>
            <w:tcW w:type="dxa" w:w="3561"/>
            <w:vAlign w:val="top"/>
          </w:tcPr>
          <w:p>
            <w:pPr>
              <w:spacing w:after="0" w:line="221" w:lineRule="auto"/>
            </w:pPr>
            <w:r>
              <w:rPr>
                <w:rFonts w:ascii="Times New Roman" w:hAnsi="Times New Roman"/>
                <w:sz w:val="13"/>
              </w:rPr>
              <w:t>Public succession + Divine presence.</w:t>
            </w:r>
          </w:p>
        </w:tc>
      </w:tr>
      <w:tr>
        <w:tc>
          <w:tcPr>
            <w:tcW w:type="dxa" w:w="3561"/>
            <w:vAlign w:val="top"/>
          </w:tcPr>
          <w:p>
            <w:pPr>
              <w:spacing w:after="0" w:line="221" w:lineRule="auto"/>
            </w:pPr>
            <w:r>
              <w:rPr>
                <w:rFonts w:ascii="Times New Roman" w:hAnsi="Times New Roman"/>
                <w:sz w:val="13"/>
              </w:rPr>
              <w:t>Deut. 31:9</w:t>
            </w:r>
          </w:p>
        </w:tc>
        <w:tc>
          <w:tcPr>
            <w:tcW w:type="dxa" w:w="3561"/>
            <w:vAlign w:val="top"/>
          </w:tcPr>
          <w:p>
            <w:pPr>
              <w:spacing w:after="0" w:line="221" w:lineRule="auto"/>
            </w:pPr>
            <w:r>
              <w:rPr>
                <w:rFonts w:ascii="Times New Roman" w:hAnsi="Times New Roman"/>
                <w:sz w:val="13"/>
              </w:rPr>
              <w:t>this law</w:t>
            </w:r>
          </w:p>
        </w:tc>
        <w:tc>
          <w:tcPr>
            <w:tcW w:type="dxa" w:w="3561"/>
            <w:vAlign w:val="top"/>
          </w:tcPr>
          <w:p>
            <w:pPr>
              <w:spacing w:after="0" w:line="221" w:lineRule="auto"/>
            </w:pPr>
            <w:r>
              <w:rPr>
                <w:rFonts w:ascii="Times New Roman" w:hAnsi="Times New Roman"/>
                <w:sz w:val="13"/>
              </w:rPr>
              <w:t>Mosaic writing explicit; scope debated.</w:t>
            </w:r>
          </w:p>
        </w:tc>
      </w:tr>
      <w:tr>
        <w:tc>
          <w:tcPr>
            <w:tcW w:type="dxa" w:w="3561"/>
            <w:vAlign w:val="top"/>
          </w:tcPr>
          <w:p>
            <w:pPr>
              <w:spacing w:after="0" w:line="221" w:lineRule="auto"/>
            </w:pPr>
            <w:r>
              <w:rPr>
                <w:rFonts w:ascii="Times New Roman" w:hAnsi="Times New Roman"/>
                <w:sz w:val="13"/>
              </w:rPr>
              <w:t>Deut. 31:10–11</w:t>
            </w:r>
          </w:p>
        </w:tc>
        <w:tc>
          <w:tcPr>
            <w:tcW w:type="dxa" w:w="3561"/>
            <w:vAlign w:val="top"/>
          </w:tcPr>
          <w:p>
            <w:pPr>
              <w:spacing w:after="0" w:line="221" w:lineRule="auto"/>
            </w:pPr>
            <w:r>
              <w:rPr>
                <w:rFonts w:ascii="Times New Roman" w:hAnsi="Times New Roman"/>
                <w:sz w:val="13"/>
              </w:rPr>
              <w:t>seventh-year reading</w:t>
            </w:r>
          </w:p>
        </w:tc>
        <w:tc>
          <w:tcPr>
            <w:tcW w:type="dxa" w:w="3561"/>
            <w:vAlign w:val="top"/>
          </w:tcPr>
          <w:p>
            <w:pPr>
              <w:spacing w:after="0" w:line="221" w:lineRule="auto"/>
            </w:pPr>
            <w:r>
              <w:rPr>
                <w:rFonts w:ascii="Times New Roman" w:hAnsi="Times New Roman"/>
                <w:sz w:val="13"/>
              </w:rPr>
              <w:t>Release year at Tabernacles.</w:t>
            </w:r>
          </w:p>
        </w:tc>
      </w:tr>
      <w:tr>
        <w:tc>
          <w:tcPr>
            <w:tcW w:type="dxa" w:w="3561"/>
            <w:vAlign w:val="top"/>
          </w:tcPr>
          <w:p>
            <w:pPr>
              <w:spacing w:after="0" w:line="221" w:lineRule="auto"/>
            </w:pPr>
            <w:r>
              <w:rPr>
                <w:rFonts w:ascii="Times New Roman" w:hAnsi="Times New Roman"/>
                <w:sz w:val="13"/>
              </w:rPr>
              <w:t>Deut. 31:12</w:t>
            </w:r>
          </w:p>
        </w:tc>
        <w:tc>
          <w:tcPr>
            <w:tcW w:type="dxa" w:w="3561"/>
            <w:vAlign w:val="top"/>
          </w:tcPr>
          <w:p>
            <w:pPr>
              <w:spacing w:after="0" w:line="221" w:lineRule="auto"/>
            </w:pPr>
            <w:r>
              <w:rPr>
                <w:rFonts w:ascii="Times New Roman" w:hAnsi="Times New Roman"/>
                <w:sz w:val="13"/>
              </w:rPr>
              <w:t>taph</w:t>
            </w:r>
          </w:p>
        </w:tc>
        <w:tc>
          <w:tcPr>
            <w:tcW w:type="dxa" w:w="3561"/>
            <w:vAlign w:val="top"/>
          </w:tcPr>
          <w:p>
            <w:pPr>
              <w:spacing w:after="0" w:line="221" w:lineRule="auto"/>
            </w:pPr>
            <w:r>
              <w:rPr>
                <w:rFonts w:ascii="Times New Roman" w:hAnsi="Times New Roman"/>
                <w:sz w:val="13"/>
              </w:rPr>
              <w:t>Collective little ones.</w:t>
            </w:r>
          </w:p>
        </w:tc>
      </w:tr>
      <w:tr>
        <w:tc>
          <w:tcPr>
            <w:tcW w:type="dxa" w:w="3561"/>
            <w:vAlign w:val="top"/>
          </w:tcPr>
          <w:p>
            <w:pPr>
              <w:spacing w:after="0" w:line="221" w:lineRule="auto"/>
            </w:pPr>
            <w:r>
              <w:rPr>
                <w:rFonts w:ascii="Times New Roman" w:hAnsi="Times New Roman"/>
                <w:sz w:val="13"/>
              </w:rPr>
              <w:t>Deut. 31:14</w:t>
            </w:r>
          </w:p>
        </w:tc>
        <w:tc>
          <w:tcPr>
            <w:tcW w:type="dxa" w:w="3561"/>
            <w:vAlign w:val="top"/>
          </w:tcPr>
          <w:p>
            <w:pPr>
              <w:spacing w:after="0" w:line="221" w:lineRule="auto"/>
            </w:pPr>
            <w:r>
              <w:rPr>
                <w:rFonts w:ascii="Times New Roman" w:hAnsi="Times New Roman"/>
                <w:sz w:val="13"/>
              </w:rPr>
              <w:t>ohel mo‘ed</w:t>
            </w:r>
          </w:p>
        </w:tc>
        <w:tc>
          <w:tcPr>
            <w:tcW w:type="dxa" w:w="3561"/>
            <w:vAlign w:val="top"/>
          </w:tcPr>
          <w:p>
            <w:pPr>
              <w:spacing w:after="0" w:line="221" w:lineRule="auto"/>
            </w:pPr>
            <w:r>
              <w:rPr>
                <w:rFonts w:ascii="Times New Roman" w:hAnsi="Times New Roman"/>
                <w:sz w:val="13"/>
              </w:rPr>
              <w:t>Tent of Meeting.</w:t>
            </w:r>
          </w:p>
        </w:tc>
      </w:tr>
      <w:tr>
        <w:tc>
          <w:tcPr>
            <w:tcW w:type="dxa" w:w="3561"/>
            <w:vAlign w:val="top"/>
          </w:tcPr>
          <w:p>
            <w:pPr>
              <w:spacing w:after="0" w:line="221" w:lineRule="auto"/>
            </w:pPr>
            <w:r>
              <w:rPr>
                <w:rFonts w:ascii="Times New Roman" w:hAnsi="Times New Roman"/>
                <w:sz w:val="13"/>
              </w:rPr>
              <w:t>Deut. 31:16</w:t>
            </w:r>
          </w:p>
        </w:tc>
        <w:tc>
          <w:tcPr>
            <w:tcW w:type="dxa" w:w="3561"/>
            <w:vAlign w:val="top"/>
          </w:tcPr>
          <w:p>
            <w:pPr>
              <w:spacing w:after="0" w:line="221" w:lineRule="auto"/>
            </w:pPr>
            <w:r>
              <w:rPr>
                <w:rFonts w:ascii="Times New Roman" w:hAnsi="Times New Roman"/>
                <w:sz w:val="13"/>
              </w:rPr>
              <w:t>sleep with fathers</w:t>
            </w:r>
          </w:p>
        </w:tc>
        <w:tc>
          <w:tcPr>
            <w:tcW w:type="dxa" w:w="3561"/>
            <w:vAlign w:val="top"/>
          </w:tcPr>
          <w:p>
            <w:pPr>
              <w:spacing w:after="0" w:line="221" w:lineRule="auto"/>
            </w:pPr>
            <w:r>
              <w:rPr>
                <w:rFonts w:ascii="Times New Roman" w:hAnsi="Times New Roman"/>
                <w:sz w:val="13"/>
              </w:rPr>
              <w:t>Death idiom.</w:t>
            </w:r>
          </w:p>
        </w:tc>
      </w:tr>
      <w:tr>
        <w:tc>
          <w:tcPr>
            <w:tcW w:type="dxa" w:w="3561"/>
            <w:vAlign w:val="top"/>
          </w:tcPr>
          <w:p>
            <w:pPr>
              <w:spacing w:after="0" w:line="221" w:lineRule="auto"/>
            </w:pPr>
            <w:r>
              <w:rPr>
                <w:rFonts w:ascii="Times New Roman" w:hAnsi="Times New Roman"/>
                <w:sz w:val="13"/>
              </w:rPr>
              <w:t>Deut. 31:19</w:t>
            </w:r>
          </w:p>
        </w:tc>
        <w:tc>
          <w:tcPr>
            <w:tcW w:type="dxa" w:w="3561"/>
            <w:vAlign w:val="top"/>
          </w:tcPr>
          <w:p>
            <w:pPr>
              <w:spacing w:after="0" w:line="221" w:lineRule="auto"/>
            </w:pPr>
            <w:r>
              <w:rPr>
                <w:rFonts w:ascii="Times New Roman" w:hAnsi="Times New Roman"/>
                <w:sz w:val="13"/>
              </w:rPr>
              <w:t>Song witness</w:t>
            </w:r>
          </w:p>
        </w:tc>
        <w:tc>
          <w:tcPr>
            <w:tcW w:type="dxa" w:w="3561"/>
            <w:vAlign w:val="top"/>
          </w:tcPr>
          <w:p>
            <w:pPr>
              <w:spacing w:after="0" w:line="221" w:lineRule="auto"/>
            </w:pPr>
            <w:r>
              <w:rPr>
                <w:rFonts w:ascii="Times New Roman" w:hAnsi="Times New Roman"/>
                <w:sz w:val="13"/>
              </w:rPr>
              <w:t>Written and taught.</w:t>
            </w:r>
          </w:p>
        </w:tc>
      </w:tr>
      <w:tr>
        <w:tc>
          <w:tcPr>
            <w:tcW w:type="dxa" w:w="3561"/>
            <w:vAlign w:val="top"/>
          </w:tcPr>
          <w:p>
            <w:pPr>
              <w:spacing w:after="0" w:line="221" w:lineRule="auto"/>
            </w:pPr>
            <w:r>
              <w:rPr>
                <w:rFonts w:ascii="Times New Roman" w:hAnsi="Times New Roman"/>
                <w:sz w:val="13"/>
              </w:rPr>
              <w:t>Deut. 31:21</w:t>
            </w:r>
          </w:p>
        </w:tc>
        <w:tc>
          <w:tcPr>
            <w:tcW w:type="dxa" w:w="3561"/>
            <w:vAlign w:val="top"/>
          </w:tcPr>
          <w:p>
            <w:pPr>
              <w:spacing w:after="0" w:line="221" w:lineRule="auto"/>
            </w:pPr>
            <w:r>
              <w:rPr>
                <w:rFonts w:ascii="Times New Roman" w:hAnsi="Times New Roman"/>
                <w:sz w:val="13"/>
              </w:rPr>
              <w:t>yetzer</w:t>
            </w:r>
          </w:p>
        </w:tc>
        <w:tc>
          <w:tcPr>
            <w:tcW w:type="dxa" w:w="3561"/>
            <w:vAlign w:val="top"/>
          </w:tcPr>
          <w:p>
            <w:pPr>
              <w:spacing w:after="0" w:line="221" w:lineRule="auto"/>
            </w:pPr>
            <w:r>
              <w:rPr>
                <w:rFonts w:ascii="Times New Roman" w:hAnsi="Times New Roman"/>
                <w:sz w:val="13"/>
              </w:rPr>
              <w:t>Inclination/formation.</w:t>
            </w:r>
          </w:p>
        </w:tc>
      </w:tr>
      <w:tr>
        <w:tc>
          <w:tcPr>
            <w:tcW w:type="dxa" w:w="3561"/>
            <w:vAlign w:val="top"/>
          </w:tcPr>
          <w:p>
            <w:pPr>
              <w:spacing w:after="0" w:line="221" w:lineRule="auto"/>
            </w:pPr>
            <w:r>
              <w:rPr>
                <w:rFonts w:ascii="Times New Roman" w:hAnsi="Times New Roman"/>
                <w:sz w:val="13"/>
              </w:rPr>
              <w:t>Deut. 31:23</w:t>
            </w:r>
          </w:p>
        </w:tc>
        <w:tc>
          <w:tcPr>
            <w:tcW w:type="dxa" w:w="3561"/>
            <w:vAlign w:val="top"/>
          </w:tcPr>
          <w:p>
            <w:pPr>
              <w:spacing w:after="0" w:line="221" w:lineRule="auto"/>
            </w:pPr>
            <w:r>
              <w:rPr>
                <w:rFonts w:ascii="Times New Roman" w:hAnsi="Times New Roman"/>
                <w:sz w:val="13"/>
              </w:rPr>
              <w:t>Joshua Divine charge</w:t>
            </w:r>
          </w:p>
        </w:tc>
        <w:tc>
          <w:tcPr>
            <w:tcW w:type="dxa" w:w="3561"/>
            <w:vAlign w:val="top"/>
          </w:tcPr>
          <w:p>
            <w:pPr>
              <w:spacing w:after="0" w:line="221" w:lineRule="auto"/>
            </w:pPr>
            <w:r>
              <w:rPr>
                <w:rFonts w:ascii="Times New Roman" w:hAnsi="Times New Roman"/>
                <w:sz w:val="13"/>
              </w:rPr>
              <w:t>Be strong; I will be with thee.</w:t>
            </w:r>
          </w:p>
        </w:tc>
      </w:tr>
      <w:tr>
        <w:tc>
          <w:tcPr>
            <w:tcW w:type="dxa" w:w="3561"/>
            <w:vAlign w:val="top"/>
          </w:tcPr>
          <w:p>
            <w:pPr>
              <w:spacing w:after="0" w:line="221" w:lineRule="auto"/>
            </w:pPr>
            <w:r>
              <w:rPr>
                <w:rFonts w:ascii="Times New Roman" w:hAnsi="Times New Roman"/>
                <w:sz w:val="13"/>
              </w:rPr>
              <w:t>Deut. 31:24</w:t>
            </w:r>
          </w:p>
        </w:tc>
        <w:tc>
          <w:tcPr>
            <w:tcW w:type="dxa" w:w="3561"/>
            <w:vAlign w:val="top"/>
          </w:tcPr>
          <w:p>
            <w:pPr>
              <w:spacing w:after="0" w:line="221" w:lineRule="auto"/>
            </w:pPr>
            <w:r>
              <w:rPr>
                <w:rFonts w:ascii="Times New Roman" w:hAnsi="Times New Roman"/>
                <w:sz w:val="13"/>
              </w:rPr>
              <w:t>Moses finishes writing</w:t>
            </w:r>
          </w:p>
        </w:tc>
        <w:tc>
          <w:tcPr>
            <w:tcW w:type="dxa" w:w="3561"/>
            <w:vAlign w:val="top"/>
          </w:tcPr>
          <w:p>
            <w:pPr>
              <w:spacing w:after="0" w:line="221" w:lineRule="auto"/>
            </w:pPr>
            <w:r>
              <w:rPr>
                <w:rFonts w:ascii="Times New Roman" w:hAnsi="Times New Roman"/>
                <w:sz w:val="13"/>
              </w:rPr>
              <w:t>Law-book completed.</w:t>
            </w:r>
          </w:p>
        </w:tc>
      </w:tr>
      <w:tr>
        <w:tc>
          <w:tcPr>
            <w:tcW w:type="dxa" w:w="3561"/>
            <w:vAlign w:val="top"/>
          </w:tcPr>
          <w:p>
            <w:pPr>
              <w:spacing w:after="0" w:line="221" w:lineRule="auto"/>
            </w:pPr>
            <w:r>
              <w:rPr>
                <w:rFonts w:ascii="Times New Roman" w:hAnsi="Times New Roman"/>
                <w:sz w:val="13"/>
              </w:rPr>
              <w:t>Deut. 31:26</w:t>
            </w:r>
          </w:p>
        </w:tc>
        <w:tc>
          <w:tcPr>
            <w:tcW w:type="dxa" w:w="3561"/>
            <w:vAlign w:val="top"/>
          </w:tcPr>
          <w:p>
            <w:pPr>
              <w:spacing w:after="0" w:line="221" w:lineRule="auto"/>
            </w:pPr>
            <w:r>
              <w:rPr>
                <w:rFonts w:ascii="Times New Roman" w:hAnsi="Times New Roman"/>
                <w:sz w:val="13"/>
              </w:rPr>
              <w:t>mitsad aron</w:t>
            </w:r>
          </w:p>
        </w:tc>
        <w:tc>
          <w:tcPr>
            <w:tcW w:type="dxa" w:w="3561"/>
            <w:vAlign w:val="top"/>
          </w:tcPr>
          <w:p>
            <w:pPr>
              <w:spacing w:after="0" w:line="221" w:lineRule="auto"/>
            </w:pPr>
            <w:r>
              <w:rPr>
                <w:rFonts w:ascii="Times New Roman" w:hAnsi="Times New Roman"/>
                <w:sz w:val="13"/>
              </w:rPr>
              <w:t>Beside/at side of Ark, not inside.</w:t>
            </w:r>
          </w:p>
        </w:tc>
      </w:tr>
      <w:tr>
        <w:tc>
          <w:tcPr>
            <w:tcW w:type="dxa" w:w="3561"/>
            <w:vAlign w:val="top"/>
          </w:tcPr>
          <w:p>
            <w:pPr>
              <w:spacing w:after="0" w:line="221" w:lineRule="auto"/>
            </w:pPr>
            <w:r>
              <w:rPr>
                <w:rFonts w:ascii="Times New Roman" w:hAnsi="Times New Roman"/>
                <w:sz w:val="13"/>
              </w:rPr>
              <w:t>Deut. 31:28</w:t>
            </w:r>
          </w:p>
        </w:tc>
        <w:tc>
          <w:tcPr>
            <w:tcW w:type="dxa" w:w="3561"/>
            <w:vAlign w:val="top"/>
          </w:tcPr>
          <w:p>
            <w:pPr>
              <w:spacing w:after="0" w:line="221" w:lineRule="auto"/>
            </w:pPr>
            <w:r>
              <w:rPr>
                <w:rFonts w:ascii="Times New Roman" w:hAnsi="Times New Roman"/>
                <w:sz w:val="13"/>
              </w:rPr>
              <w:t>heaven and earth</w:t>
            </w:r>
          </w:p>
        </w:tc>
        <w:tc>
          <w:tcPr>
            <w:tcW w:type="dxa" w:w="3561"/>
            <w:vAlign w:val="top"/>
          </w:tcPr>
          <w:p>
            <w:pPr>
              <w:spacing w:after="0" w:line="221" w:lineRule="auto"/>
            </w:pPr>
            <w:r>
              <w:rPr>
                <w:rFonts w:ascii="Times New Roman" w:hAnsi="Times New Roman"/>
                <w:sz w:val="13"/>
              </w:rPr>
              <w:t>Covenant witnesses.</w:t>
            </w:r>
          </w:p>
        </w:tc>
      </w:tr>
      <w:tr>
        <w:tc>
          <w:tcPr>
            <w:tcW w:type="dxa" w:w="3561"/>
            <w:vAlign w:val="top"/>
          </w:tcPr>
          <w:p>
            <w:pPr>
              <w:spacing w:after="0" w:line="221" w:lineRule="auto"/>
            </w:pPr>
            <w:r>
              <w:rPr>
                <w:rFonts w:ascii="Times New Roman" w:hAnsi="Times New Roman"/>
                <w:sz w:val="13"/>
              </w:rPr>
              <w:t>Deut. 31:29</w:t>
            </w:r>
          </w:p>
        </w:tc>
        <w:tc>
          <w:tcPr>
            <w:tcW w:type="dxa" w:w="3561"/>
            <w:vAlign w:val="top"/>
          </w:tcPr>
          <w:p>
            <w:pPr>
              <w:spacing w:after="0" w:line="221" w:lineRule="auto"/>
            </w:pPr>
            <w:r>
              <w:rPr>
                <w:rFonts w:ascii="Times New Roman" w:hAnsi="Times New Roman"/>
                <w:sz w:val="13"/>
              </w:rPr>
              <w:t>be’acharit hayyamim</w:t>
            </w:r>
          </w:p>
        </w:tc>
        <w:tc>
          <w:tcPr>
            <w:tcW w:type="dxa" w:w="3561"/>
            <w:vAlign w:val="top"/>
          </w:tcPr>
          <w:p>
            <w:pPr>
              <w:spacing w:after="0" w:line="221" w:lineRule="auto"/>
            </w:pPr>
            <w:r>
              <w:rPr>
                <w:rFonts w:ascii="Times New Roman" w:hAnsi="Times New Roman"/>
                <w:sz w:val="13"/>
              </w:rPr>
              <w:t>Later/latter days; not automatically only final end-time.</w:t>
            </w:r>
          </w:p>
        </w:tc>
      </w:tr>
    </w:tbl>
    <w:p>
      <w:pPr>
        <w:pStyle w:val="Heading1"/>
      </w:pPr>
      <w:r>
        <w:t>RESIDUAL UNCERTAINTIES</w:t>
      </w:r>
    </w:p>
    <w:p>
      <w:pPr/>
      <w:r>
        <w:rPr>
          <w:i w:val="0"/>
        </w:rPr>
        <w:t>The exact extent of “this law” in verses 9 and 24 and the detailed timing between Moses’ final discourses and death remain debated. Mansfield’s birthday/physical-decline claims and the impression that the law-book was inside the Ark have been corrected.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8"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