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32</w:t>
      </w:r>
    </w:p>
    <w:p>
      <w:pPr>
        <w:pStyle w:val="Subtitle"/>
      </w:pPr>
      <w:r>
        <w:t>THE SONG OF WITNESS • HEAVEN AND EARTH HEAR • YAHWEH THE ROCK • TEXTUAL VARIANT: SONS OF ISRAEL / SONS OF GOD • APPLE OF HIS EYE • JESHURUN KICKS • DEMONS THAT ARE NOT GOD • SHEOL POETRY • THEIR ROCK IS NOT OUR ROCK • VENGEANCE IS YAHWEH’S • “I, EVEN I, AM HE” • NATIONS REJOICE • ANCIENT EXPANDED TEXT • MOSES PREPARES TO DIE</w:t>
      </w:r>
    </w:p>
    <w:p>
      <w:pPr/>
      <w:r>
        <w:rPr>
          <w:i/>
        </w:rPr>
        <w:t>H. P. Mansfield Bible notes — checked and arranged in verse-by-verse Expositor style</w:t>
      </w:r>
    </w:p>
    <w:p>
      <w:pPr/>
      <w:r>
        <w:rPr>
          <w:i w:val="0"/>
        </w:rPr>
        <w:t>Source: HPB 04-Deu01-Jud04.PDF pp. 50–52; cross-checked with Mansfield’s Deuteronomy Expositor Chapter 32, the Masoretic/KJV text, ancient Greek and Dead Sea textual traditions, and New Testament citations.</w:t>
      </w:r>
    </w:p>
    <w:p>
      <w:pPr>
        <w:pStyle w:val="Heading1"/>
      </w:pPr>
      <w:r>
        <w:t>CHAPTER OVERVIEW</w:t>
      </w:r>
    </w:p>
    <w:p>
      <w:pPr/>
      <w:r>
        <w:rPr>
          <w:i w:val="0"/>
        </w:rPr>
        <w:t>The Song of Moses is the second great witness prepared in chapter 31. Its controlling contrast is secure: Yahweh is the faithful Rock whose work is perfect; Israel corrupts itself, forgets its Maker, trusts false gods, and receives covenant judgment.</w:t>
      </w:r>
    </w:p>
    <w:p>
      <w:pPr/>
      <w:r>
        <w:rPr>
          <w:i w:val="0"/>
        </w:rPr>
        <w:t>The chapter is also textually important. Deuteronomy 32:8 and 32:43 preserve notable ancient variants between the Masoretic tradition, the Septuagint and Dead Sea manuscripts. Those variants must be acknowledged because they directly affect some of Mansfield’s arguments.</w:t>
      </w:r>
    </w:p>
    <w:p>
      <w:pPr>
        <w:pStyle w:val="Heading1"/>
      </w:pPr>
      <w:r>
        <w:t>HEAVEN AND EARTH AS WITNESSES — DEUTERONOMY 32:1–3</w:t>
      </w:r>
    </w:p>
    <w:p>
      <w:pPr>
        <w:pStyle w:val="Heading2"/>
      </w:pPr>
      <w:r>
        <w:t>Deuteronomy 32:1 — creation summoned</w:t>
      </w:r>
    </w:p>
    <w:p>
      <w:pPr/>
      <w:r>
        <w:rPr>
          <w:i w:val="0"/>
        </w:rPr>
        <w:t>Moses calls heaven to give ear and earth to hear, continuing the covenant-witness language of Deuteronomy 30:19 and 31:28.</w:t>
      </w:r>
    </w:p>
    <w:p>
      <w:pPr/>
      <w:r>
        <w:rPr>
          <w:i w:val="0"/>
        </w:rPr>
        <w:t>Mansfield allegorises heaven as rulers and earth as ruled people. Scripture can use cosmic language figuratively elsewhere, but nothing here requires that reduction; personified heaven and earth function naturally as enduring covenant witnesses.</w:t>
      </w:r>
    </w:p>
    <w:p>
      <w:pPr>
        <w:pStyle w:val="Heading2"/>
      </w:pPr>
      <w:r>
        <w:t>Deuteronomy 32:2 — `leqach` and life-giving moisture</w:t>
      </w:r>
    </w:p>
    <w:p>
      <w:pPr/>
      <w:r>
        <w:rPr>
          <w:i w:val="0"/>
        </w:rPr>
        <w:t>Moses’ `leqach`, teaching/instruction, drops like rain; speech distils like dew, gentle rain and showers on vegetation.</w:t>
      </w:r>
    </w:p>
    <w:p>
      <w:pPr/>
      <w:r>
        <w:rPr>
          <w:i w:val="0"/>
        </w:rPr>
        <w:t>The picture is nourishing revelation. `Leqach` means teaching/instruction, not lexically “words that take hold of a person,” though faithful teaching should indeed be received.</w:t>
      </w:r>
    </w:p>
    <w:p>
      <w:pPr>
        <w:pStyle w:val="Heading2"/>
      </w:pPr>
      <w:r>
        <w:t>Deuteronomy 32:3 — proclaim Yahweh’s Name</w:t>
      </w:r>
    </w:p>
    <w:p>
      <w:pPr/>
      <w:r>
        <w:rPr>
          <w:i w:val="0"/>
        </w:rPr>
        <w:t>Moses proclaims the Name of Yahweh and calls Israel to ascribe greatness to “our God.”</w:t>
      </w:r>
    </w:p>
    <w:p>
      <w:pPr/>
      <w:r>
        <w:rPr>
          <w:i w:val="0"/>
        </w:rPr>
        <w:t>`Elohim` here means God in context. Mansfield’s statement that it specifically refers to angelic or multitudinous manifestation should not replace the ordinary grammatical referent.</w:t>
      </w:r>
    </w:p>
    <w:p>
      <w:pPr>
        <w:pStyle w:val="Heading1"/>
      </w:pPr>
      <w:r>
        <w:t>THE ROCK AND ISRAEL’S BLEMISH — DEUTERONOMY 32:4–6</w:t>
      </w:r>
    </w:p>
    <w:p>
      <w:pPr>
        <w:pStyle w:val="Heading2"/>
      </w:pPr>
      <w:r>
        <w:t>Deuteronomy 32:4 — `tsur`, the Rock</w:t>
      </w:r>
    </w:p>
    <w:p>
      <w:pPr/>
      <w:r>
        <w:rPr>
          <w:i w:val="0"/>
        </w:rPr>
        <w:t>Yahweh is “the Rock”; His work is perfect/complete, His ways are judgment/justice, He is faithful, without iniquity, just and right.</w:t>
      </w:r>
    </w:p>
    <w:p>
      <w:pPr/>
      <w:r>
        <w:rPr>
          <w:i w:val="0"/>
        </w:rPr>
        <w:t>The title anchors the Song: Israel’s judgment cannot be blamed on defect in Yahweh.</w:t>
      </w:r>
    </w:p>
    <w:p>
      <w:pPr>
        <w:pStyle w:val="Heading2"/>
      </w:pPr>
      <w:r>
        <w:t>Deuteronomy 32:5 — difficult Hebrew syntax</w:t>
      </w:r>
    </w:p>
    <w:p>
      <w:pPr/>
      <w:r>
        <w:rPr>
          <w:i w:val="0"/>
        </w:rPr>
        <w:t>The Hebrew of verse 5 is compressed and difficult. KJV reads, “They have corrupted themselves, their spot is not the spot of his children,” while many modern translations understand, “They have dealt corruptly with him; they are no longer his children because of their blemish,” or similar.</w:t>
      </w:r>
    </w:p>
    <w:p>
      <w:pPr/>
      <w:r>
        <w:rPr>
          <w:i w:val="0"/>
        </w:rPr>
        <w:t>The contrast is clear—corruption belongs to the crooked generation, not to the perfect Rock—but the exact syntax should not be made falsely certain.</w:t>
      </w:r>
    </w:p>
    <w:p>
      <w:pPr>
        <w:pStyle w:val="Heading2"/>
      </w:pPr>
      <w:r>
        <w:t>Deuteronomy 32:6 — Father who acquired/made</w:t>
      </w:r>
    </w:p>
    <w:p>
      <w:pPr/>
      <w:r>
        <w:rPr>
          <w:i w:val="0"/>
        </w:rPr>
        <w:t>Israel repays Yahweh foolishly though He is Father, the One who `qanah` Israel and made/established the nation.</w:t>
      </w:r>
    </w:p>
    <w:p>
      <w:pPr/>
      <w:r>
        <w:rPr>
          <w:i w:val="0"/>
        </w:rPr>
        <w:t>KJV “bought thee” is possible within `qanah`’s acquire/possess range; the context concerns Yahweh’s formative ownership of Israel, not commercial purchase alone.</w:t>
      </w:r>
    </w:p>
    <w:p>
      <w:pPr>
        <w:pStyle w:val="Heading1"/>
      </w:pPr>
      <w:r>
        <w:t>THE NATIONS AND YAHWEH’S PORTION — DEUTERONOMY 32:7–9</w:t>
      </w:r>
    </w:p>
    <w:p>
      <w:pPr>
        <w:pStyle w:val="Heading2"/>
      </w:pPr>
      <w:r>
        <w:t>Deuteronomy 32:7 — remember and ask</w:t>
      </w:r>
    </w:p>
    <w:p>
      <w:pPr/>
      <w:r>
        <w:rPr>
          <w:i w:val="0"/>
        </w:rPr>
        <w:t>Israel must remember ancient days and learn from fathers and elders.</w:t>
      </w:r>
    </w:p>
    <w:p>
      <w:pPr>
        <w:pStyle w:val="Heading2"/>
      </w:pPr>
      <w:r>
        <w:t>Deuteronomy 32:8 — major textual variant</w:t>
      </w:r>
    </w:p>
    <w:p>
      <w:pPr/>
      <w:r>
        <w:rPr>
          <w:i w:val="0"/>
        </w:rPr>
        <w:t>KJV/Masoretic Text reads that the Most High set the nations’ boundaries “according to the number of the children/sons of Israel.”</w:t>
      </w:r>
    </w:p>
    <w:p>
      <w:pPr/>
      <w:r>
        <w:rPr>
          <w:i w:val="0"/>
        </w:rPr>
        <w:t>Dead Sea manuscript evidence and the Septuagint tradition preserve an older-looking reading along the lines “sons of God” / “angels of God.” This is one of Deuteronomy’s important textual variants. Mansfield’s elaborate argument that Genesis 10’s seventy nations were deliberately numbered to match the seventy Israelites in Egypt depends on the Masoretic reading and cannot be treated as certain original exegesis.</w:t>
      </w:r>
    </w:p>
    <w:p>
      <w:pPr>
        <w:pStyle w:val="Heading2"/>
      </w:pPr>
      <w:r>
        <w:t>Deuteronomy 32:9 — Jacob Yahweh’s allotted inheritance</w:t>
      </w:r>
    </w:p>
    <w:p>
      <w:pPr/>
      <w:r>
        <w:rPr>
          <w:i w:val="0"/>
        </w:rPr>
        <w:t>Whatever reading is followed in verse 8, verse 9 is stable in its point: Yahweh’s portion is His people; Jacob is the lot of His inheritance.</w:t>
      </w:r>
    </w:p>
    <w:p>
      <w:pPr>
        <w:pStyle w:val="Heading1"/>
      </w:pPr>
      <w:r>
        <w:t>WILDERNESS CARE — DEUTERONOMY 32:10–14</w:t>
      </w:r>
    </w:p>
    <w:p>
      <w:pPr>
        <w:pStyle w:val="Heading2"/>
      </w:pPr>
      <w:r>
        <w:t>Deuteronomy 32:10 — apple of the eye</w:t>
      </w:r>
    </w:p>
    <w:p>
      <w:pPr/>
      <w:r>
        <w:rPr>
          <w:i w:val="0"/>
        </w:rPr>
        <w:t>Yahweh finds/carries Israel through wilderness waste, surrounds and instructs him and keeps him as the `ishon` of His eye—the pupil, traditionally “apple of his eye.”</w:t>
      </w:r>
    </w:p>
    <w:p>
      <w:pPr/>
      <w:r>
        <w:rPr>
          <w:i w:val="0"/>
        </w:rPr>
        <w:t>The traditional explanation “little man of the eye” reflects the tiny reflected image seen in a pupil and is a reasonable linguistic image.</w:t>
      </w:r>
    </w:p>
    <w:p>
      <w:pPr>
        <w:pStyle w:val="Heading2"/>
      </w:pPr>
      <w:r>
        <w:t>Deuteronomy 32:11 — eagle imagery</w:t>
      </w:r>
    </w:p>
    <w:p>
      <w:pPr/>
      <w:r>
        <w:rPr>
          <w:i w:val="0"/>
        </w:rPr>
        <w:t>Like an eagle stirring the nest, hovering/fluttering over young, spreading wings and bearing them, Yahweh trains and carries Israel.</w:t>
      </w:r>
    </w:p>
    <w:p>
      <w:pPr/>
      <w:r>
        <w:rPr>
          <w:i w:val="0"/>
        </w:rPr>
        <w:t>The poetic image conveys protective education. Detailed natural-history claims about exactly how eagles force fledglings to fly should not be turned into inspired ornithology.</w:t>
      </w:r>
    </w:p>
    <w:p>
      <w:pPr>
        <w:pStyle w:val="Heading2"/>
      </w:pPr>
      <w:r>
        <w:t>Deuteronomy 32:12 — Yahweh alone</w:t>
      </w:r>
    </w:p>
    <w:p>
      <w:pPr/>
      <w:r>
        <w:rPr>
          <w:i w:val="0"/>
        </w:rPr>
        <w:t>Yahweh alone leads Israel and no foreign god is with Him. The verse excludes rival divine participation.</w:t>
      </w:r>
    </w:p>
    <w:p>
      <w:pPr>
        <w:pStyle w:val="Heading2"/>
      </w:pPr>
      <w:r>
        <w:t>Deuteronomy 32:13–14 — abundance</w:t>
      </w:r>
    </w:p>
    <w:p>
      <w:pPr/>
      <w:r>
        <w:rPr>
          <w:i w:val="0"/>
        </w:rPr>
        <w:t>Honey, oil, milk, fat, wheat and the “blood of the grape” poetically depict rich provision in the inheritance.</w:t>
      </w:r>
    </w:p>
    <w:p>
      <w:pPr>
        <w:pStyle w:val="Heading1"/>
      </w:pPr>
      <w:r>
        <w:t>JESHURUN FORGETS THE ROCK — DEUTERONOMY 32:15–18</w:t>
      </w:r>
    </w:p>
    <w:p>
      <w:pPr>
        <w:pStyle w:val="Heading2"/>
      </w:pPr>
      <w:r>
        <w:t>Deuteronomy 32:15 — Jeshurun</w:t>
      </w:r>
    </w:p>
    <w:p>
      <w:pPr/>
      <w:r>
        <w:rPr>
          <w:i w:val="0"/>
        </w:rPr>
        <w:t>`Yeshurun`, an affectionate/ideal name often understood as “upright one,” waxes fat and kicks, making the irony sharp: the privileged people abandon the God who made them.</w:t>
      </w:r>
    </w:p>
    <w:p>
      <w:pPr>
        <w:pStyle w:val="Heading2"/>
      </w:pPr>
      <w:r>
        <w:t>Deuteronomy 32:16–17 — jealousy and `shedim`</w:t>
      </w:r>
    </w:p>
    <w:p>
      <w:pPr/>
      <w:r>
        <w:rPr>
          <w:i w:val="0"/>
        </w:rPr>
        <w:t>Israel provokes Yahweh with strange gods and sacrifices to `shedim`, traditionally “demons,” described immediately as “not God,” gods they had not known.</w:t>
      </w:r>
    </w:p>
    <w:p>
      <w:pPr/>
      <w:r>
        <w:rPr>
          <w:i w:val="0"/>
        </w:rPr>
        <w:t>The poetry acknowledges the demonic category of pagan worship without granting independent deity equal to Yahweh. Paul uses related language in 1 Corinthians 10:20 when warning against fellowship with idolatrous sacrifice.</w:t>
      </w:r>
    </w:p>
    <w:p>
      <w:pPr>
        <w:pStyle w:val="Heading2"/>
      </w:pPr>
      <w:r>
        <w:t>Deuteronomy 32:18 — Rock who begat thee</w:t>
      </w:r>
    </w:p>
    <w:p>
      <w:pPr/>
      <w:r>
        <w:rPr>
          <w:i w:val="0"/>
        </w:rPr>
        <w:t>Israel forgets the Rock who begat/gave birth to them and the God who brought the nation forth.</w:t>
      </w:r>
    </w:p>
    <w:p>
      <w:pPr/>
      <w:r>
        <w:rPr>
          <w:i w:val="0"/>
        </w:rPr>
        <w:t>The parental language is metaphor for national origin and covenant formation, not physical divine procreation.</w:t>
      </w:r>
    </w:p>
    <w:p>
      <w:pPr>
        <w:pStyle w:val="Heading1"/>
      </w:pPr>
      <w:r>
        <w:t>PROVOKED BY A NOT-PEOPLE — DEUTERONOMY 32:19–25</w:t>
      </w:r>
    </w:p>
    <w:p>
      <w:pPr>
        <w:pStyle w:val="Heading2"/>
      </w:pPr>
      <w:r>
        <w:t>Deuteronomy 32:19–21 — reciprocal provocation</w:t>
      </w:r>
    </w:p>
    <w:p>
      <w:pPr/>
      <w:r>
        <w:rPr>
          <w:i w:val="0"/>
        </w:rPr>
        <w:t>Israel moves Yahweh to jealousy with a “not-god”; Yahweh answers by provoking them through a “not-people,” a foolish nation.</w:t>
      </w:r>
    </w:p>
    <w:p>
      <w:pPr/>
      <w:r>
        <w:rPr>
          <w:i w:val="0"/>
        </w:rPr>
        <w:t>Romans 10:19 directly quotes this language in Paul’s argument concerning Israel and Gentile response.</w:t>
      </w:r>
    </w:p>
    <w:p>
      <w:pPr>
        <w:pStyle w:val="Heading2"/>
      </w:pPr>
      <w:r>
        <w:t>Deuteronomy 32:22 — fire to deepest Sheol</w:t>
      </w:r>
    </w:p>
    <w:p>
      <w:pPr/>
      <w:r>
        <w:rPr>
          <w:i w:val="0"/>
        </w:rPr>
        <w:t>KJV says the fire burns “unto the lowest hell.” The Hebrew is `Sheol`, the poetic realm/depths of the grave/death.</w:t>
      </w:r>
    </w:p>
    <w:p>
      <w:pPr/>
      <w:r>
        <w:rPr>
          <w:i w:val="0"/>
        </w:rPr>
        <w:t>The verse depicts all-reaching covenant judgment; it is not a proof-text for eternal conscious torment in a fiery hell.</w:t>
      </w:r>
    </w:p>
    <w:p>
      <w:pPr>
        <w:pStyle w:val="Heading2"/>
      </w:pPr>
      <w:r>
        <w:t>Deuteronomy 32:23–25 — accumulated judgments</w:t>
      </w:r>
    </w:p>
    <w:p>
      <w:pPr/>
      <w:r>
        <w:rPr>
          <w:i w:val="0"/>
        </w:rPr>
        <w:t>Hunger, burning plague/heat, beasts, serpent poison, sword and terror portray covenant catastrophe affecting young and old.</w:t>
      </w:r>
    </w:p>
    <w:p>
      <w:pPr>
        <w:pStyle w:val="Heading1"/>
      </w:pPr>
      <w:r>
        <w:t>WHY ISRAEL IS NOT ERASED — DEUTERONOMY 32:26–27</w:t>
      </w:r>
    </w:p>
    <w:p>
      <w:pPr>
        <w:pStyle w:val="Heading2"/>
      </w:pPr>
      <w:r>
        <w:t>Deuteronomy 32:26–27 — Yahweh’s Name before adversaries</w:t>
      </w:r>
    </w:p>
    <w:p>
      <w:pPr/>
      <w:r>
        <w:rPr>
          <w:i w:val="0"/>
        </w:rPr>
        <w:t>Yahweh could scatter Israel and erase national remembrance, yet restrains total destruction lest enemies boast that their own power accomplished it.</w:t>
      </w:r>
    </w:p>
    <w:p>
      <w:pPr/>
      <w:r>
        <w:rPr>
          <w:i w:val="0"/>
        </w:rPr>
        <w:t>Judgment remains subordinate to Yahweh’s declared purpose and reputation.</w:t>
      </w:r>
    </w:p>
    <w:p>
      <w:pPr>
        <w:pStyle w:val="Heading1"/>
      </w:pPr>
      <w:r>
        <w:t>THEIR ROCK IS NOT OUR ROCK — DEUTERONOMY 32:28–33</w:t>
      </w:r>
    </w:p>
    <w:p>
      <w:pPr>
        <w:pStyle w:val="Heading2"/>
      </w:pPr>
      <w:r>
        <w:t>Deuteronomy 32:28–29 — consider the latter end</w:t>
      </w:r>
    </w:p>
    <w:p>
      <w:pPr/>
      <w:r>
        <w:rPr>
          <w:i w:val="0"/>
        </w:rPr>
        <w:t>A nation void of counsel should become wise enough to understand its end.</w:t>
      </w:r>
    </w:p>
    <w:p>
      <w:pPr>
        <w:pStyle w:val="Heading2"/>
      </w:pPr>
      <w:r>
        <w:t>Deuteronomy 32:30 — defeat means their Rock delivered them</w:t>
      </w:r>
    </w:p>
    <w:p>
      <w:pPr/>
      <w:r>
        <w:rPr>
          <w:i w:val="0"/>
        </w:rPr>
        <w:t>One enemy could not chase a thousand unless Israel’s Rock had sold/delivered them and Yahweh had shut them up.</w:t>
      </w:r>
    </w:p>
    <w:p>
      <w:pPr/>
      <w:r>
        <w:rPr>
          <w:i w:val="0"/>
        </w:rPr>
        <w:t>Military defeat is interpreted covenantally, not as evidence that the enemy’s gods defeated Yahweh.</w:t>
      </w:r>
    </w:p>
    <w:p>
      <w:pPr>
        <w:pStyle w:val="Heading2"/>
      </w:pPr>
      <w:r>
        <w:t>Deuteronomy 32:31 — comparative Rock statement</w:t>
      </w:r>
    </w:p>
    <w:p>
      <w:pPr/>
      <w:r>
        <w:rPr>
          <w:i w:val="0"/>
        </w:rPr>
        <w:t>“Their rock is not as our Rock, even our enemies themselves being judges.” False security cannot compare with Yahweh.</w:t>
      </w:r>
    </w:p>
    <w:p>
      <w:pPr>
        <w:pStyle w:val="Heading2"/>
      </w:pPr>
      <w:r>
        <w:t>Deuteronomy 32:32–33 — `rosh` again</w:t>
      </w:r>
    </w:p>
    <w:p>
      <w:pPr/>
      <w:r>
        <w:rPr>
          <w:i w:val="0"/>
        </w:rPr>
        <w:t>The corrupt vine yields grapes of `rosh`, poison/bitter substance, and wine like serpent venom.</w:t>
      </w:r>
    </w:p>
    <w:p>
      <w:pPr/>
      <w:r>
        <w:rPr>
          <w:i w:val="0"/>
        </w:rPr>
        <w:t>As in Deuteronomy 29:18, `rosh` should not be identified confidently as the poppy/opium. The poetic point is toxicity and bitterness.</w:t>
      </w:r>
    </w:p>
    <w:p>
      <w:pPr>
        <w:pStyle w:val="Heading1"/>
      </w:pPr>
      <w:r>
        <w:t>VENGEANCE AND COMPASSION — DEUTERONOMY 32:34–39</w:t>
      </w:r>
    </w:p>
    <w:p>
      <w:pPr>
        <w:pStyle w:val="Heading2"/>
      </w:pPr>
      <w:r>
        <w:t>Deuteronomy 32:34–35 — vengeance belongs to Yahweh</w:t>
      </w:r>
    </w:p>
    <w:p>
      <w:pPr/>
      <w:r>
        <w:rPr>
          <w:i w:val="0"/>
        </w:rPr>
        <w:t>Judgment is stored for its appointed time: “To me belongeth vengeance, and recompence.”</w:t>
      </w:r>
    </w:p>
    <w:p>
      <w:pPr/>
      <w:r>
        <w:rPr>
          <w:i w:val="0"/>
        </w:rPr>
        <w:t>Romans 12:19 and Hebrews 10:30 use this Divine-vengeance principle. It removes vengeance from private human ownership.</w:t>
      </w:r>
    </w:p>
    <w:p>
      <w:pPr>
        <w:pStyle w:val="Heading2"/>
      </w:pPr>
      <w:r>
        <w:t>Deuteronomy 32:36 — Yahweh relents/has compassion</w:t>
      </w:r>
    </w:p>
    <w:p>
      <w:pPr/>
      <w:r>
        <w:rPr>
          <w:i w:val="0"/>
        </w:rPr>
        <w:t>Yahweh judges His people and `yitnecham` concerning His servants when strength is gone.</w:t>
      </w:r>
    </w:p>
    <w:p>
      <w:pPr/>
      <w:r>
        <w:rPr>
          <w:i w:val="0"/>
        </w:rPr>
        <w:t>KJV “repent himself” uses older English. The Hebrew in this setting means relent/be moved to compassion, not repent from moral error.</w:t>
      </w:r>
    </w:p>
    <w:p>
      <w:pPr>
        <w:pStyle w:val="Heading2"/>
      </w:pPr>
      <w:r>
        <w:t>Deuteronomy 32:37–38 — false refuges challenged</w:t>
      </w:r>
    </w:p>
    <w:p>
      <w:pPr/>
      <w:r>
        <w:rPr>
          <w:i w:val="0"/>
        </w:rPr>
        <w:t>Yahweh asks where the gods and rock are in whom Israel trusted; sacrificed food and drink cannot save.</w:t>
      </w:r>
    </w:p>
    <w:p>
      <w:pPr>
        <w:pStyle w:val="Heading2"/>
      </w:pPr>
      <w:r>
        <w:t>Deuteronomy 32:39 — “I, even I, am he”</w:t>
      </w:r>
    </w:p>
    <w:p>
      <w:pPr/>
      <w:r>
        <w:rPr>
          <w:i w:val="0"/>
        </w:rPr>
        <w:t>Yahweh declares: “there is no god with me: I kill, and I make alive; I wound, and I heal.”</w:t>
      </w:r>
    </w:p>
    <w:p>
      <w:pPr/>
      <w:r>
        <w:rPr>
          <w:i w:val="0"/>
        </w:rPr>
        <w:t>This is an emphatic monotheistic sovereignty declaration. `Elohim`/god here must not be reinterpreted as angels standing alongside Yahweh.</w:t>
      </w:r>
    </w:p>
    <w:p>
      <w:pPr>
        <w:pStyle w:val="Heading1"/>
      </w:pPr>
      <w:r>
        <w:t>YAHWEH VINDICATES — DEUTERONOMY 32:40–43</w:t>
      </w:r>
    </w:p>
    <w:p>
      <w:pPr>
        <w:pStyle w:val="Heading2"/>
      </w:pPr>
      <w:r>
        <w:t>Deuteronomy 32:40 — “I live for ever”</w:t>
      </w:r>
    </w:p>
    <w:p>
      <w:pPr/>
      <w:r>
        <w:rPr>
          <w:i w:val="0"/>
        </w:rPr>
        <w:t>Yahweh raises His hand to heaven and swears by His own everlasting life.</w:t>
      </w:r>
    </w:p>
    <w:p>
      <w:pPr>
        <w:pStyle w:val="Heading2"/>
      </w:pPr>
      <w:r>
        <w:t>Deuteronomy 32:41–42 — sword and arrows</w:t>
      </w:r>
    </w:p>
    <w:p>
      <w:pPr/>
      <w:r>
        <w:rPr>
          <w:i w:val="0"/>
        </w:rPr>
        <w:t>Poetic warfare language expresses repayment of adversaries and haters.</w:t>
      </w:r>
    </w:p>
    <w:p>
      <w:pPr>
        <w:pStyle w:val="Heading2"/>
      </w:pPr>
      <w:r>
        <w:t>Deuteronomy 32:43 — KJV/MT form</w:t>
      </w:r>
    </w:p>
    <w:p>
      <w:pPr/>
      <w:r>
        <w:rPr>
          <w:i w:val="0"/>
        </w:rPr>
        <w:t>KJV/Masoretic tradition calls the nations to rejoice with Yahweh’s people because He avenges His servants, repays adversaries and “will be merciful unto his land, and to his people.”</w:t>
      </w:r>
    </w:p>
    <w:p>
      <w:pPr/>
      <w:r>
        <w:rPr>
          <w:i w:val="0"/>
        </w:rPr>
        <w:t>The final Hebrew verb is `kippēr`, normally atone/purge/cleanse; a more literal sense is that He makes atonement for/cleanses His land and people.</w:t>
      </w:r>
    </w:p>
    <w:p>
      <w:pPr>
        <w:pStyle w:val="Heading2"/>
      </w:pPr>
      <w:r>
        <w:t>Deuteronomy 32:43 — expanded ancient text</w:t>
      </w:r>
    </w:p>
    <w:p>
      <w:pPr/>
      <w:r>
        <w:rPr>
          <w:i w:val="0"/>
        </w:rPr>
        <w:t>Dead Sea manuscript 4QDeut and the Septuagint preserve additional poetic lines, including heavenly beings/angels rejoicing or worshipping, beyond the shorter Masoretic form.</w:t>
      </w:r>
    </w:p>
    <w:p>
      <w:pPr/>
      <w:r>
        <w:rPr>
          <w:i w:val="0"/>
        </w:rPr>
        <w:t>Romans 15:10 quotes the stable line “Rejoice, ye Gentiles, with his people.” The expanded textual tradition should be acknowledged rather than silently harmonised with KJV.</w:t>
      </w:r>
    </w:p>
    <w:p>
      <w:pPr>
        <w:pStyle w:val="Heading1"/>
      </w:pPr>
      <w:r>
        <w:t>THE SONG DELIVERED — DEUTERONOMY 32:44–47</w:t>
      </w:r>
    </w:p>
    <w:p>
      <w:pPr>
        <w:pStyle w:val="Heading2"/>
      </w:pPr>
      <w:r>
        <w:t>Deuteronomy 32:44 — Moses and Hoshea</w:t>
      </w:r>
    </w:p>
    <w:p>
      <w:pPr/>
      <w:r>
        <w:rPr>
          <w:i w:val="0"/>
        </w:rPr>
        <w:t>Moses comes and speaks the Song with `Hoshea` son of Nun—the same Joshua whose earlier name-form is preserved here.</w:t>
      </w:r>
    </w:p>
    <w:p>
      <w:pPr>
        <w:pStyle w:val="Heading2"/>
      </w:pPr>
      <w:r>
        <w:t>Deuteronomy 32:45–47 — not a vain word</w:t>
      </w:r>
    </w:p>
    <w:p>
      <w:pPr/>
      <w:r>
        <w:rPr>
          <w:i w:val="0"/>
        </w:rPr>
        <w:t>Moses commands Israel to set the heart upon all the words and teach children to do the law: “it is not a vain thing for you; because it is your life.”</w:t>
      </w:r>
    </w:p>
    <w:p>
      <w:pPr/>
      <w:r>
        <w:rPr>
          <w:i w:val="0"/>
        </w:rPr>
        <w:t>The Song exists to form covenant faithfulness, not merely to provide a chart of future history.</w:t>
      </w:r>
    </w:p>
    <w:p>
      <w:pPr>
        <w:pStyle w:val="Heading1"/>
      </w:pPr>
      <w:r>
        <w:t>MOSES PREPARES TO DIE — DEUTERONOMY 32:48–52</w:t>
      </w:r>
    </w:p>
    <w:p>
      <w:pPr>
        <w:pStyle w:val="Heading2"/>
      </w:pPr>
      <w:r>
        <w:t>Deuteronomy 32:48–49 — Abarim and Nebo</w:t>
      </w:r>
    </w:p>
    <w:p>
      <w:pPr/>
      <w:r>
        <w:rPr>
          <w:i w:val="0"/>
        </w:rPr>
        <w:t>Yahweh commands Moses to ascend Mount Nebo in the Abarim range, opposite Jericho, and view Canaan.</w:t>
      </w:r>
    </w:p>
    <w:p>
      <w:pPr>
        <w:pStyle w:val="Heading2"/>
      </w:pPr>
      <w:r>
        <w:t>Deuteronomy 32:50 — gathered unto thy people</w:t>
      </w:r>
    </w:p>
    <w:p>
      <w:pPr/>
      <w:r>
        <w:rPr>
          <w:i w:val="0"/>
        </w:rPr>
        <w:t>Moses will die and be “gathered unto thy people” as Aaron was.</w:t>
      </w:r>
    </w:p>
    <w:p>
      <w:pPr/>
      <w:r>
        <w:rPr>
          <w:i w:val="0"/>
        </w:rPr>
        <w:t>The phrase is a death/ancestral-burial idiom and does not by itself establish conscious life in heaven after death.</w:t>
      </w:r>
    </w:p>
    <w:p>
      <w:pPr>
        <w:pStyle w:val="Heading2"/>
      </w:pPr>
      <w:r>
        <w:t>Deuteronomy 32:51 — Meribah-Kadesh</w:t>
      </w:r>
    </w:p>
    <w:p>
      <w:pPr/>
      <w:r>
        <w:rPr>
          <w:i w:val="0"/>
        </w:rPr>
        <w:t>Moses and Aaron trespassed/broke faith at the waters of Meribah-Kadesh and did not sanctify Yahweh among Israel.</w:t>
      </w:r>
    </w:p>
    <w:p>
      <w:pPr/>
      <w:r>
        <w:rPr>
          <w:i w:val="0"/>
        </w:rPr>
        <w:t>The text retains Moses’ personal accountability even within the people’s provocation.</w:t>
      </w:r>
    </w:p>
    <w:p>
      <w:pPr>
        <w:pStyle w:val="Heading2"/>
      </w:pPr>
      <w:r>
        <w:t>Deuteronomy 32:52 — see but not enter</w:t>
      </w:r>
    </w:p>
    <w:p>
      <w:pPr/>
      <w:r>
        <w:rPr>
          <w:i w:val="0"/>
        </w:rPr>
        <w:t>Moses is granted sight of the land but not entry. Deuteronomy 34 will narrate the fulfilment.</w:t>
      </w:r>
    </w:p>
    <w:p>
      <w:pPr>
        <w:pStyle w:val="Heading1"/>
      </w:pPr>
      <w:r>
        <w:t>PRINCIPAL THEMES</w:t>
      </w:r>
    </w:p>
    <w:p>
      <w:pPr>
        <w:ind w:left="259" w:hanging="202"/>
      </w:pPr>
      <w:r>
        <w:rPr>
          <w:b/>
        </w:rPr>
        <w:t xml:space="preserve">• </w:t>
      </w:r>
      <w:r>
        <w:t>Heaven and earth are natural covenant witnesses here; rulers/people allegory is optional, not required.</w:t>
      </w:r>
    </w:p>
    <w:p>
      <w:pPr>
        <w:ind w:left="259" w:hanging="202"/>
      </w:pPr>
      <w:r>
        <w:rPr>
          <w:b/>
        </w:rPr>
        <w:t xml:space="preserve">• </w:t>
      </w:r>
      <w:r>
        <w:t>`Leqach` means teaching/instruction.</w:t>
      </w:r>
    </w:p>
    <w:p>
      <w:pPr>
        <w:ind w:left="259" w:hanging="202"/>
      </w:pPr>
      <w:r>
        <w:rPr>
          <w:b/>
        </w:rPr>
        <w:t xml:space="preserve">• </w:t>
      </w:r>
      <w:r>
        <w:t>`Elohim` in verse 3 means our God, not specifically angels.</w:t>
      </w:r>
    </w:p>
    <w:p>
      <w:pPr>
        <w:ind w:left="259" w:hanging="202"/>
      </w:pPr>
      <w:r>
        <w:rPr>
          <w:b/>
        </w:rPr>
        <w:t xml:space="preserve">• </w:t>
      </w:r>
      <w:r>
        <w:t>Verse 5’s Hebrew syntax is difficult though the moral contrast is clear.</w:t>
      </w:r>
    </w:p>
    <w:p>
      <w:pPr>
        <w:ind w:left="259" w:hanging="202"/>
      </w:pPr>
      <w:r>
        <w:rPr>
          <w:b/>
        </w:rPr>
        <w:t xml:space="preserve">• </w:t>
      </w:r>
      <w:r>
        <w:t>Deuteronomy 32:8 has a major MT versus Dead Sea/LXX textual variant: sons of Israel versus sons of God/heavenly beings.</w:t>
      </w:r>
    </w:p>
    <w:p>
      <w:pPr>
        <w:ind w:left="259" w:hanging="202"/>
      </w:pPr>
      <w:r>
        <w:rPr>
          <w:b/>
        </w:rPr>
        <w:t xml:space="preserve">• </w:t>
      </w:r>
      <w:r>
        <w:t>Mansfield’s 70-nations/70-Israelites scheme depends upon the MT form and is not textually certain.</w:t>
      </w:r>
    </w:p>
    <w:p>
      <w:pPr>
        <w:ind w:left="259" w:hanging="202"/>
      </w:pPr>
      <w:r>
        <w:rPr>
          <w:b/>
        </w:rPr>
        <w:t xml:space="preserve">• </w:t>
      </w:r>
      <w:r>
        <w:t>`Shedim` are demons/non-gods of pagan worship; the verse does not grant them equality with Yahweh.</w:t>
      </w:r>
    </w:p>
    <w:p>
      <w:pPr>
        <w:ind w:left="259" w:hanging="202"/>
      </w:pPr>
      <w:r>
        <w:rPr>
          <w:b/>
        </w:rPr>
        <w:t xml:space="preserve">• </w:t>
      </w:r>
      <w:r>
        <w:t>`Sheol` in verse 22 should not be translated into a doctrine of eternal fiery torment.</w:t>
      </w:r>
    </w:p>
    <w:p>
      <w:pPr>
        <w:ind w:left="259" w:hanging="202"/>
      </w:pPr>
      <w:r>
        <w:rPr>
          <w:b/>
        </w:rPr>
        <w:t xml:space="preserve">• </w:t>
      </w:r>
      <w:r>
        <w:t>`Rosh` is poison/bitter plant imagery, not securely poppy/opium.</w:t>
      </w:r>
    </w:p>
    <w:p>
      <w:pPr>
        <w:ind w:left="259" w:hanging="202"/>
      </w:pPr>
      <w:r>
        <w:rPr>
          <w:b/>
        </w:rPr>
        <w:t xml:space="preserve">• </w:t>
      </w:r>
      <w:r>
        <w:t>Vengeance belongs to Yahweh; private vengeance is excluded.</w:t>
      </w:r>
    </w:p>
    <w:p>
      <w:pPr>
        <w:ind w:left="259" w:hanging="202"/>
      </w:pPr>
      <w:r>
        <w:rPr>
          <w:b/>
        </w:rPr>
        <w:t xml:space="preserve">• </w:t>
      </w:r>
      <w:r>
        <w:t>`Yitnecham` in verse 36 means relent/show compassion, not repent from wrongdoing.</w:t>
      </w:r>
    </w:p>
    <w:p>
      <w:pPr>
        <w:ind w:left="259" w:hanging="202"/>
      </w:pPr>
      <w:r>
        <w:rPr>
          <w:b/>
        </w:rPr>
        <w:t xml:space="preserve">• </w:t>
      </w:r>
      <w:r>
        <w:t>Verse 39 is emphatic monotheism.</w:t>
      </w:r>
    </w:p>
    <w:p>
      <w:pPr>
        <w:ind w:left="259" w:hanging="202"/>
      </w:pPr>
      <w:r>
        <w:rPr>
          <w:b/>
        </w:rPr>
        <w:t xml:space="preserve">• </w:t>
      </w:r>
      <w:r>
        <w:t>Verse 43 has an important expanded Dead Sea/LXX tradition.</w:t>
      </w:r>
    </w:p>
    <w:p>
      <w:pPr>
        <w:ind w:left="259" w:hanging="202"/>
      </w:pPr>
      <w:r>
        <w:rPr>
          <w:b/>
        </w:rPr>
        <w:t xml:space="preserve">• </w:t>
      </w:r>
      <w:r>
        <w:t>`Kippēr` in verse 43 means atone/purge/cleanse more literally than KJV “be merciful.”</w:t>
      </w:r>
    </w:p>
    <w:p>
      <w:pPr>
        <w:ind w:left="259" w:hanging="202"/>
      </w:pPr>
      <w:r>
        <w:rPr>
          <w:b/>
        </w:rPr>
        <w:t xml:space="preserve">• </w:t>
      </w:r>
      <w:r>
        <w:t>Hoshea in verse 44 is Joshua.</w:t>
      </w:r>
    </w:p>
    <w:p>
      <w:pPr>
        <w:ind w:left="259" w:hanging="202"/>
      </w:pPr>
      <w:r>
        <w:rPr>
          <w:b/>
        </w:rPr>
        <w:t xml:space="preserve">• </w:t>
      </w:r>
      <w:r>
        <w:t>Being gathered to one’s people is a death idiom, not proof of conscious heaven-going.</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2"/>
              </w:rPr>
              <w:t>Deut. 32:1</w:t>
            </w:r>
          </w:p>
        </w:tc>
        <w:tc>
          <w:tcPr>
            <w:tcW w:type="dxa" w:w="3561"/>
            <w:vAlign w:val="top"/>
          </w:tcPr>
          <w:p>
            <w:pPr>
              <w:spacing w:after="0" w:line="221" w:lineRule="auto"/>
            </w:pPr>
            <w:r>
              <w:rPr>
                <w:rFonts w:ascii="Times New Roman" w:hAnsi="Times New Roman"/>
                <w:sz w:val="12"/>
              </w:rPr>
              <w:t>heaven + earth</w:t>
            </w:r>
          </w:p>
        </w:tc>
        <w:tc>
          <w:tcPr>
            <w:tcW w:type="dxa" w:w="3561"/>
            <w:vAlign w:val="top"/>
          </w:tcPr>
          <w:p>
            <w:pPr>
              <w:spacing w:after="0" w:line="221" w:lineRule="auto"/>
            </w:pPr>
            <w:r>
              <w:rPr>
                <w:rFonts w:ascii="Times New Roman" w:hAnsi="Times New Roman"/>
                <w:sz w:val="12"/>
              </w:rPr>
              <w:t>Covenant witnesses; rulers/people allegory not necessary.</w:t>
            </w:r>
          </w:p>
        </w:tc>
      </w:tr>
      <w:tr>
        <w:tc>
          <w:tcPr>
            <w:tcW w:type="dxa" w:w="3561"/>
            <w:vAlign w:val="top"/>
          </w:tcPr>
          <w:p>
            <w:pPr>
              <w:spacing w:after="0" w:line="221" w:lineRule="auto"/>
            </w:pPr>
            <w:r>
              <w:rPr>
                <w:rFonts w:ascii="Times New Roman" w:hAnsi="Times New Roman"/>
                <w:sz w:val="12"/>
              </w:rPr>
              <w:t>Deut. 32:2</w:t>
            </w:r>
          </w:p>
        </w:tc>
        <w:tc>
          <w:tcPr>
            <w:tcW w:type="dxa" w:w="3561"/>
            <w:vAlign w:val="top"/>
          </w:tcPr>
          <w:p>
            <w:pPr>
              <w:spacing w:after="0" w:line="221" w:lineRule="auto"/>
            </w:pPr>
            <w:r>
              <w:rPr>
                <w:rFonts w:ascii="Times New Roman" w:hAnsi="Times New Roman"/>
                <w:sz w:val="12"/>
              </w:rPr>
              <w:t>leqach</w:t>
            </w:r>
          </w:p>
        </w:tc>
        <w:tc>
          <w:tcPr>
            <w:tcW w:type="dxa" w:w="3561"/>
            <w:vAlign w:val="top"/>
          </w:tcPr>
          <w:p>
            <w:pPr>
              <w:spacing w:after="0" w:line="221" w:lineRule="auto"/>
            </w:pPr>
            <w:r>
              <w:rPr>
                <w:rFonts w:ascii="Times New Roman" w:hAnsi="Times New Roman"/>
                <w:sz w:val="12"/>
              </w:rPr>
              <w:t>Teaching/instruction.</w:t>
            </w:r>
          </w:p>
        </w:tc>
      </w:tr>
      <w:tr>
        <w:tc>
          <w:tcPr>
            <w:tcW w:type="dxa" w:w="3561"/>
            <w:vAlign w:val="top"/>
          </w:tcPr>
          <w:p>
            <w:pPr>
              <w:spacing w:after="0" w:line="221" w:lineRule="auto"/>
            </w:pPr>
            <w:r>
              <w:rPr>
                <w:rFonts w:ascii="Times New Roman" w:hAnsi="Times New Roman"/>
                <w:sz w:val="12"/>
              </w:rPr>
              <w:t>Deut. 32:3</w:t>
            </w:r>
          </w:p>
        </w:tc>
        <w:tc>
          <w:tcPr>
            <w:tcW w:type="dxa" w:w="3561"/>
            <w:vAlign w:val="top"/>
          </w:tcPr>
          <w:p>
            <w:pPr>
              <w:spacing w:after="0" w:line="221" w:lineRule="auto"/>
            </w:pPr>
            <w:r>
              <w:rPr>
                <w:rFonts w:ascii="Times New Roman" w:hAnsi="Times New Roman"/>
                <w:sz w:val="12"/>
              </w:rPr>
              <w:t>Elohim</w:t>
            </w:r>
          </w:p>
        </w:tc>
        <w:tc>
          <w:tcPr>
            <w:tcW w:type="dxa" w:w="3561"/>
            <w:vAlign w:val="top"/>
          </w:tcPr>
          <w:p>
            <w:pPr>
              <w:spacing w:after="0" w:line="221" w:lineRule="auto"/>
            </w:pPr>
            <w:r>
              <w:rPr>
                <w:rFonts w:ascii="Times New Roman" w:hAnsi="Times New Roman"/>
                <w:sz w:val="12"/>
              </w:rPr>
              <w:t>Our God in context.</w:t>
            </w:r>
          </w:p>
        </w:tc>
      </w:tr>
      <w:tr>
        <w:tc>
          <w:tcPr>
            <w:tcW w:type="dxa" w:w="3561"/>
            <w:vAlign w:val="top"/>
          </w:tcPr>
          <w:p>
            <w:pPr>
              <w:spacing w:after="0" w:line="221" w:lineRule="auto"/>
            </w:pPr>
            <w:r>
              <w:rPr>
                <w:rFonts w:ascii="Times New Roman" w:hAnsi="Times New Roman"/>
                <w:sz w:val="12"/>
              </w:rPr>
              <w:t>Deut. 32:4</w:t>
            </w:r>
          </w:p>
        </w:tc>
        <w:tc>
          <w:tcPr>
            <w:tcW w:type="dxa" w:w="3561"/>
            <w:vAlign w:val="top"/>
          </w:tcPr>
          <w:p>
            <w:pPr>
              <w:spacing w:after="0" w:line="221" w:lineRule="auto"/>
            </w:pPr>
            <w:r>
              <w:rPr>
                <w:rFonts w:ascii="Times New Roman" w:hAnsi="Times New Roman"/>
                <w:sz w:val="12"/>
              </w:rPr>
              <w:t>tsur</w:t>
            </w:r>
          </w:p>
        </w:tc>
        <w:tc>
          <w:tcPr>
            <w:tcW w:type="dxa" w:w="3561"/>
            <w:vAlign w:val="top"/>
          </w:tcPr>
          <w:p>
            <w:pPr>
              <w:spacing w:after="0" w:line="221" w:lineRule="auto"/>
            </w:pPr>
            <w:r>
              <w:rPr>
                <w:rFonts w:ascii="Times New Roman" w:hAnsi="Times New Roman"/>
                <w:sz w:val="12"/>
              </w:rPr>
              <w:t>Rock; perfect work and justice.</w:t>
            </w:r>
          </w:p>
        </w:tc>
      </w:tr>
      <w:tr>
        <w:tc>
          <w:tcPr>
            <w:tcW w:type="dxa" w:w="3561"/>
            <w:vAlign w:val="top"/>
          </w:tcPr>
          <w:p>
            <w:pPr>
              <w:spacing w:after="0" w:line="221" w:lineRule="auto"/>
            </w:pPr>
            <w:r>
              <w:rPr>
                <w:rFonts w:ascii="Times New Roman" w:hAnsi="Times New Roman"/>
                <w:sz w:val="12"/>
              </w:rPr>
              <w:t>Deut. 32:5</w:t>
            </w:r>
          </w:p>
        </w:tc>
        <w:tc>
          <w:tcPr>
            <w:tcW w:type="dxa" w:w="3561"/>
            <w:vAlign w:val="top"/>
          </w:tcPr>
          <w:p>
            <w:pPr>
              <w:spacing w:after="0" w:line="221" w:lineRule="auto"/>
            </w:pPr>
            <w:r>
              <w:rPr>
                <w:rFonts w:ascii="Times New Roman" w:hAnsi="Times New Roman"/>
                <w:sz w:val="12"/>
              </w:rPr>
              <w:t>Hebrew syntax</w:t>
            </w:r>
          </w:p>
        </w:tc>
        <w:tc>
          <w:tcPr>
            <w:tcW w:type="dxa" w:w="3561"/>
            <w:vAlign w:val="top"/>
          </w:tcPr>
          <w:p>
            <w:pPr>
              <w:spacing w:after="0" w:line="221" w:lineRule="auto"/>
            </w:pPr>
            <w:r>
              <w:rPr>
                <w:rFonts w:ascii="Times New Roman" w:hAnsi="Times New Roman"/>
                <w:sz w:val="12"/>
              </w:rPr>
              <w:t>Difficult; corruption belongs to crooked generation.</w:t>
            </w:r>
          </w:p>
        </w:tc>
      </w:tr>
      <w:tr>
        <w:tc>
          <w:tcPr>
            <w:tcW w:type="dxa" w:w="3561"/>
            <w:vAlign w:val="top"/>
          </w:tcPr>
          <w:p>
            <w:pPr>
              <w:spacing w:after="0" w:line="221" w:lineRule="auto"/>
            </w:pPr>
            <w:r>
              <w:rPr>
                <w:rFonts w:ascii="Times New Roman" w:hAnsi="Times New Roman"/>
                <w:sz w:val="12"/>
              </w:rPr>
              <w:t>Deut. 32:6</w:t>
            </w:r>
          </w:p>
        </w:tc>
        <w:tc>
          <w:tcPr>
            <w:tcW w:type="dxa" w:w="3561"/>
            <w:vAlign w:val="top"/>
          </w:tcPr>
          <w:p>
            <w:pPr>
              <w:spacing w:after="0" w:line="221" w:lineRule="auto"/>
            </w:pPr>
            <w:r>
              <w:rPr>
                <w:rFonts w:ascii="Times New Roman" w:hAnsi="Times New Roman"/>
                <w:sz w:val="12"/>
              </w:rPr>
              <w:t>qanah</w:t>
            </w:r>
          </w:p>
        </w:tc>
        <w:tc>
          <w:tcPr>
            <w:tcW w:type="dxa" w:w="3561"/>
            <w:vAlign w:val="top"/>
          </w:tcPr>
          <w:p>
            <w:pPr>
              <w:spacing w:after="0" w:line="221" w:lineRule="auto"/>
            </w:pPr>
            <w:r>
              <w:rPr>
                <w:rFonts w:ascii="Times New Roman" w:hAnsi="Times New Roman"/>
                <w:sz w:val="12"/>
              </w:rPr>
              <w:t>Acquire/possess/create; KJV “bought.”</w:t>
            </w:r>
          </w:p>
        </w:tc>
      </w:tr>
      <w:tr>
        <w:tc>
          <w:tcPr>
            <w:tcW w:type="dxa" w:w="3561"/>
            <w:vAlign w:val="top"/>
          </w:tcPr>
          <w:p>
            <w:pPr>
              <w:spacing w:after="0" w:line="221" w:lineRule="auto"/>
            </w:pPr>
            <w:r>
              <w:rPr>
                <w:rFonts w:ascii="Times New Roman" w:hAnsi="Times New Roman"/>
                <w:sz w:val="12"/>
              </w:rPr>
              <w:t>Deut. 32:8 MT/KJV</w:t>
            </w:r>
          </w:p>
        </w:tc>
        <w:tc>
          <w:tcPr>
            <w:tcW w:type="dxa" w:w="3561"/>
            <w:vAlign w:val="top"/>
          </w:tcPr>
          <w:p>
            <w:pPr>
              <w:spacing w:after="0" w:line="221" w:lineRule="auto"/>
            </w:pPr>
            <w:r>
              <w:rPr>
                <w:rFonts w:ascii="Times New Roman" w:hAnsi="Times New Roman"/>
                <w:sz w:val="12"/>
              </w:rPr>
              <w:t>sons/children of Israel</w:t>
            </w:r>
          </w:p>
        </w:tc>
        <w:tc>
          <w:tcPr>
            <w:tcW w:type="dxa" w:w="3561"/>
            <w:vAlign w:val="top"/>
          </w:tcPr>
          <w:p>
            <w:pPr>
              <w:spacing w:after="0" w:line="221" w:lineRule="auto"/>
            </w:pPr>
            <w:r>
              <w:rPr>
                <w:rFonts w:ascii="Times New Roman" w:hAnsi="Times New Roman"/>
                <w:sz w:val="12"/>
              </w:rPr>
              <w:t>Masoretic reading.</w:t>
            </w:r>
          </w:p>
        </w:tc>
      </w:tr>
      <w:tr>
        <w:tc>
          <w:tcPr>
            <w:tcW w:type="dxa" w:w="3561"/>
            <w:vAlign w:val="top"/>
          </w:tcPr>
          <w:p>
            <w:pPr>
              <w:spacing w:after="0" w:line="221" w:lineRule="auto"/>
            </w:pPr>
            <w:r>
              <w:rPr>
                <w:rFonts w:ascii="Times New Roman" w:hAnsi="Times New Roman"/>
                <w:sz w:val="12"/>
              </w:rPr>
              <w:t>Deut. 32:8 DSS/LXX</w:t>
            </w:r>
          </w:p>
        </w:tc>
        <w:tc>
          <w:tcPr>
            <w:tcW w:type="dxa" w:w="3561"/>
            <w:vAlign w:val="top"/>
          </w:tcPr>
          <w:p>
            <w:pPr>
              <w:spacing w:after="0" w:line="221" w:lineRule="auto"/>
            </w:pPr>
            <w:r>
              <w:rPr>
                <w:rFonts w:ascii="Times New Roman" w:hAnsi="Times New Roman"/>
                <w:sz w:val="12"/>
              </w:rPr>
              <w:t>sons of God / angels of God</w:t>
            </w:r>
          </w:p>
        </w:tc>
        <w:tc>
          <w:tcPr>
            <w:tcW w:type="dxa" w:w="3561"/>
            <w:vAlign w:val="top"/>
          </w:tcPr>
          <w:p>
            <w:pPr>
              <w:spacing w:after="0" w:line="221" w:lineRule="auto"/>
            </w:pPr>
            <w:r>
              <w:rPr>
                <w:rFonts w:ascii="Times New Roman" w:hAnsi="Times New Roman"/>
                <w:sz w:val="12"/>
              </w:rPr>
              <w:t>Important ancient variant.</w:t>
            </w:r>
          </w:p>
        </w:tc>
      </w:tr>
      <w:tr>
        <w:tc>
          <w:tcPr>
            <w:tcW w:type="dxa" w:w="3561"/>
            <w:vAlign w:val="top"/>
          </w:tcPr>
          <w:p>
            <w:pPr>
              <w:spacing w:after="0" w:line="221" w:lineRule="auto"/>
            </w:pPr>
            <w:r>
              <w:rPr>
                <w:rFonts w:ascii="Times New Roman" w:hAnsi="Times New Roman"/>
                <w:sz w:val="12"/>
              </w:rPr>
              <w:t>Deut. 32:9</w:t>
            </w:r>
          </w:p>
        </w:tc>
        <w:tc>
          <w:tcPr>
            <w:tcW w:type="dxa" w:w="3561"/>
            <w:vAlign w:val="top"/>
          </w:tcPr>
          <w:p>
            <w:pPr>
              <w:spacing w:after="0" w:line="221" w:lineRule="auto"/>
            </w:pPr>
            <w:r>
              <w:rPr>
                <w:rFonts w:ascii="Times New Roman" w:hAnsi="Times New Roman"/>
                <w:sz w:val="12"/>
              </w:rPr>
              <w:t>Yahweh’s portion</w:t>
            </w:r>
          </w:p>
        </w:tc>
        <w:tc>
          <w:tcPr>
            <w:tcW w:type="dxa" w:w="3561"/>
            <w:vAlign w:val="top"/>
          </w:tcPr>
          <w:p>
            <w:pPr>
              <w:spacing w:after="0" w:line="221" w:lineRule="auto"/>
            </w:pPr>
            <w:r>
              <w:rPr>
                <w:rFonts w:ascii="Times New Roman" w:hAnsi="Times New Roman"/>
                <w:sz w:val="12"/>
              </w:rPr>
              <w:t>Jacob His inheritance.</w:t>
            </w:r>
          </w:p>
        </w:tc>
      </w:tr>
      <w:tr>
        <w:tc>
          <w:tcPr>
            <w:tcW w:type="dxa" w:w="3561"/>
            <w:vAlign w:val="top"/>
          </w:tcPr>
          <w:p>
            <w:pPr>
              <w:spacing w:after="0" w:line="221" w:lineRule="auto"/>
            </w:pPr>
            <w:r>
              <w:rPr>
                <w:rFonts w:ascii="Times New Roman" w:hAnsi="Times New Roman"/>
                <w:sz w:val="12"/>
              </w:rPr>
              <w:t>Deut. 32:10</w:t>
            </w:r>
          </w:p>
        </w:tc>
        <w:tc>
          <w:tcPr>
            <w:tcW w:type="dxa" w:w="3561"/>
            <w:vAlign w:val="top"/>
          </w:tcPr>
          <w:p>
            <w:pPr>
              <w:spacing w:after="0" w:line="221" w:lineRule="auto"/>
            </w:pPr>
            <w:r>
              <w:rPr>
                <w:rFonts w:ascii="Times New Roman" w:hAnsi="Times New Roman"/>
                <w:sz w:val="12"/>
              </w:rPr>
              <w:t>ishon</w:t>
            </w:r>
          </w:p>
        </w:tc>
        <w:tc>
          <w:tcPr>
            <w:tcW w:type="dxa" w:w="3561"/>
            <w:vAlign w:val="top"/>
          </w:tcPr>
          <w:p>
            <w:pPr>
              <w:spacing w:after="0" w:line="221" w:lineRule="auto"/>
            </w:pPr>
            <w:r>
              <w:rPr>
                <w:rFonts w:ascii="Times New Roman" w:hAnsi="Times New Roman"/>
                <w:sz w:val="12"/>
              </w:rPr>
              <w:t>Pupil / apple of eye.</w:t>
            </w:r>
          </w:p>
        </w:tc>
      </w:tr>
      <w:tr>
        <w:tc>
          <w:tcPr>
            <w:tcW w:type="dxa" w:w="3561"/>
            <w:vAlign w:val="top"/>
          </w:tcPr>
          <w:p>
            <w:pPr>
              <w:spacing w:after="0" w:line="221" w:lineRule="auto"/>
            </w:pPr>
            <w:r>
              <w:rPr>
                <w:rFonts w:ascii="Times New Roman" w:hAnsi="Times New Roman"/>
                <w:sz w:val="12"/>
              </w:rPr>
              <w:t>Deut. 32:11</w:t>
            </w:r>
          </w:p>
        </w:tc>
        <w:tc>
          <w:tcPr>
            <w:tcW w:type="dxa" w:w="3561"/>
            <w:vAlign w:val="top"/>
          </w:tcPr>
          <w:p>
            <w:pPr>
              <w:spacing w:after="0" w:line="221" w:lineRule="auto"/>
            </w:pPr>
            <w:r>
              <w:rPr>
                <w:rFonts w:ascii="Times New Roman" w:hAnsi="Times New Roman"/>
                <w:sz w:val="12"/>
              </w:rPr>
              <w:t>eagle</w:t>
            </w:r>
          </w:p>
        </w:tc>
        <w:tc>
          <w:tcPr>
            <w:tcW w:type="dxa" w:w="3561"/>
            <w:vAlign w:val="top"/>
          </w:tcPr>
          <w:p>
            <w:pPr>
              <w:spacing w:after="0" w:line="221" w:lineRule="auto"/>
            </w:pPr>
            <w:r>
              <w:rPr>
                <w:rFonts w:ascii="Times New Roman" w:hAnsi="Times New Roman"/>
                <w:sz w:val="12"/>
              </w:rPr>
              <w:t>Protective-training poetry.</w:t>
            </w:r>
          </w:p>
        </w:tc>
      </w:tr>
      <w:tr>
        <w:tc>
          <w:tcPr>
            <w:tcW w:type="dxa" w:w="3561"/>
            <w:vAlign w:val="top"/>
          </w:tcPr>
          <w:p>
            <w:pPr>
              <w:spacing w:after="0" w:line="221" w:lineRule="auto"/>
            </w:pPr>
            <w:r>
              <w:rPr>
                <w:rFonts w:ascii="Times New Roman" w:hAnsi="Times New Roman"/>
                <w:sz w:val="12"/>
              </w:rPr>
              <w:t>Deut. 32:12</w:t>
            </w:r>
          </w:p>
        </w:tc>
        <w:tc>
          <w:tcPr>
            <w:tcW w:type="dxa" w:w="3561"/>
            <w:vAlign w:val="top"/>
          </w:tcPr>
          <w:p>
            <w:pPr>
              <w:spacing w:after="0" w:line="221" w:lineRule="auto"/>
            </w:pPr>
            <w:r>
              <w:rPr>
                <w:rFonts w:ascii="Times New Roman" w:hAnsi="Times New Roman"/>
                <w:sz w:val="12"/>
              </w:rPr>
              <w:t>no strange god</w:t>
            </w:r>
          </w:p>
        </w:tc>
        <w:tc>
          <w:tcPr>
            <w:tcW w:type="dxa" w:w="3561"/>
            <w:vAlign w:val="top"/>
          </w:tcPr>
          <w:p>
            <w:pPr>
              <w:spacing w:after="0" w:line="221" w:lineRule="auto"/>
            </w:pPr>
            <w:r>
              <w:rPr>
                <w:rFonts w:ascii="Times New Roman" w:hAnsi="Times New Roman"/>
                <w:sz w:val="12"/>
              </w:rPr>
              <w:t>Yahweh alone led.</w:t>
            </w:r>
          </w:p>
        </w:tc>
      </w:tr>
      <w:tr>
        <w:tc>
          <w:tcPr>
            <w:tcW w:type="dxa" w:w="3561"/>
            <w:vAlign w:val="top"/>
          </w:tcPr>
          <w:p>
            <w:pPr>
              <w:spacing w:after="0" w:line="221" w:lineRule="auto"/>
            </w:pPr>
            <w:r>
              <w:rPr>
                <w:rFonts w:ascii="Times New Roman" w:hAnsi="Times New Roman"/>
                <w:sz w:val="12"/>
              </w:rPr>
              <w:t>Deut. 32:15</w:t>
            </w:r>
          </w:p>
        </w:tc>
        <w:tc>
          <w:tcPr>
            <w:tcW w:type="dxa" w:w="3561"/>
            <w:vAlign w:val="top"/>
          </w:tcPr>
          <w:p>
            <w:pPr>
              <w:spacing w:after="0" w:line="221" w:lineRule="auto"/>
            </w:pPr>
            <w:r>
              <w:rPr>
                <w:rFonts w:ascii="Times New Roman" w:hAnsi="Times New Roman"/>
                <w:sz w:val="12"/>
              </w:rPr>
              <w:t>Jeshurun</w:t>
            </w:r>
          </w:p>
        </w:tc>
        <w:tc>
          <w:tcPr>
            <w:tcW w:type="dxa" w:w="3561"/>
            <w:vAlign w:val="top"/>
          </w:tcPr>
          <w:p>
            <w:pPr>
              <w:spacing w:after="0" w:line="221" w:lineRule="auto"/>
            </w:pPr>
            <w:r>
              <w:rPr>
                <w:rFonts w:ascii="Times New Roman" w:hAnsi="Times New Roman"/>
                <w:sz w:val="12"/>
              </w:rPr>
              <w:t>Upright-one title used ironically.</w:t>
            </w:r>
          </w:p>
        </w:tc>
      </w:tr>
      <w:tr>
        <w:tc>
          <w:tcPr>
            <w:tcW w:type="dxa" w:w="3561"/>
            <w:vAlign w:val="top"/>
          </w:tcPr>
          <w:p>
            <w:pPr>
              <w:spacing w:after="0" w:line="221" w:lineRule="auto"/>
            </w:pPr>
            <w:r>
              <w:rPr>
                <w:rFonts w:ascii="Times New Roman" w:hAnsi="Times New Roman"/>
                <w:sz w:val="12"/>
              </w:rPr>
              <w:t>Deut. 32:17</w:t>
            </w:r>
          </w:p>
        </w:tc>
        <w:tc>
          <w:tcPr>
            <w:tcW w:type="dxa" w:w="3561"/>
            <w:vAlign w:val="top"/>
          </w:tcPr>
          <w:p>
            <w:pPr>
              <w:spacing w:after="0" w:line="221" w:lineRule="auto"/>
            </w:pPr>
            <w:r>
              <w:rPr>
                <w:rFonts w:ascii="Times New Roman" w:hAnsi="Times New Roman"/>
                <w:sz w:val="12"/>
              </w:rPr>
              <w:t>shedim</w:t>
            </w:r>
          </w:p>
        </w:tc>
        <w:tc>
          <w:tcPr>
            <w:tcW w:type="dxa" w:w="3561"/>
            <w:vAlign w:val="top"/>
          </w:tcPr>
          <w:p>
            <w:pPr>
              <w:spacing w:after="0" w:line="221" w:lineRule="auto"/>
            </w:pPr>
            <w:r>
              <w:rPr>
                <w:rFonts w:ascii="Times New Roman" w:hAnsi="Times New Roman"/>
                <w:sz w:val="12"/>
              </w:rPr>
              <w:t>Demons/non-gods in idolatrous worship.</w:t>
            </w:r>
          </w:p>
        </w:tc>
      </w:tr>
      <w:tr>
        <w:tc>
          <w:tcPr>
            <w:tcW w:type="dxa" w:w="3561"/>
            <w:vAlign w:val="top"/>
          </w:tcPr>
          <w:p>
            <w:pPr>
              <w:spacing w:after="0" w:line="221" w:lineRule="auto"/>
            </w:pPr>
            <w:r>
              <w:rPr>
                <w:rFonts w:ascii="Times New Roman" w:hAnsi="Times New Roman"/>
                <w:sz w:val="12"/>
              </w:rPr>
              <w:t>Rom. 10:19</w:t>
            </w:r>
          </w:p>
        </w:tc>
        <w:tc>
          <w:tcPr>
            <w:tcW w:type="dxa" w:w="3561"/>
            <w:vAlign w:val="top"/>
          </w:tcPr>
          <w:p>
            <w:pPr>
              <w:spacing w:after="0" w:line="221" w:lineRule="auto"/>
            </w:pPr>
            <w:r>
              <w:rPr>
                <w:rFonts w:ascii="Times New Roman" w:hAnsi="Times New Roman"/>
                <w:sz w:val="12"/>
              </w:rPr>
              <w:t>not-people</w:t>
            </w:r>
          </w:p>
        </w:tc>
        <w:tc>
          <w:tcPr>
            <w:tcW w:type="dxa" w:w="3561"/>
            <w:vAlign w:val="top"/>
          </w:tcPr>
          <w:p>
            <w:pPr>
              <w:spacing w:after="0" w:line="221" w:lineRule="auto"/>
            </w:pPr>
            <w:r>
              <w:rPr>
                <w:rFonts w:ascii="Times New Roman" w:hAnsi="Times New Roman"/>
                <w:sz w:val="12"/>
              </w:rPr>
              <w:t>Paul quotes Deut. 32:21.</w:t>
            </w:r>
          </w:p>
        </w:tc>
      </w:tr>
      <w:tr>
        <w:tc>
          <w:tcPr>
            <w:tcW w:type="dxa" w:w="3561"/>
            <w:vAlign w:val="top"/>
          </w:tcPr>
          <w:p>
            <w:pPr>
              <w:spacing w:after="0" w:line="221" w:lineRule="auto"/>
            </w:pPr>
            <w:r>
              <w:rPr>
                <w:rFonts w:ascii="Times New Roman" w:hAnsi="Times New Roman"/>
                <w:sz w:val="12"/>
              </w:rPr>
              <w:t>Deut. 32:22</w:t>
            </w:r>
          </w:p>
        </w:tc>
        <w:tc>
          <w:tcPr>
            <w:tcW w:type="dxa" w:w="3561"/>
            <w:vAlign w:val="top"/>
          </w:tcPr>
          <w:p>
            <w:pPr>
              <w:spacing w:after="0" w:line="221" w:lineRule="auto"/>
            </w:pPr>
            <w:r>
              <w:rPr>
                <w:rFonts w:ascii="Times New Roman" w:hAnsi="Times New Roman"/>
                <w:sz w:val="12"/>
              </w:rPr>
              <w:t>Sheol</w:t>
            </w:r>
          </w:p>
        </w:tc>
        <w:tc>
          <w:tcPr>
            <w:tcW w:type="dxa" w:w="3561"/>
            <w:vAlign w:val="top"/>
          </w:tcPr>
          <w:p>
            <w:pPr>
              <w:spacing w:after="0" w:line="221" w:lineRule="auto"/>
            </w:pPr>
            <w:r>
              <w:rPr>
                <w:rFonts w:ascii="Times New Roman" w:hAnsi="Times New Roman"/>
                <w:sz w:val="12"/>
              </w:rPr>
              <w:t>Depths of death/grave; not eternal-torment proof.</w:t>
            </w:r>
          </w:p>
        </w:tc>
      </w:tr>
      <w:tr>
        <w:tc>
          <w:tcPr>
            <w:tcW w:type="dxa" w:w="3561"/>
            <w:vAlign w:val="top"/>
          </w:tcPr>
          <w:p>
            <w:pPr>
              <w:spacing w:after="0" w:line="221" w:lineRule="auto"/>
            </w:pPr>
            <w:r>
              <w:rPr>
                <w:rFonts w:ascii="Times New Roman" w:hAnsi="Times New Roman"/>
                <w:sz w:val="12"/>
              </w:rPr>
              <w:t>Deut. 32:32</w:t>
            </w:r>
          </w:p>
        </w:tc>
        <w:tc>
          <w:tcPr>
            <w:tcW w:type="dxa" w:w="3561"/>
            <w:vAlign w:val="top"/>
          </w:tcPr>
          <w:p>
            <w:pPr>
              <w:spacing w:after="0" w:line="221" w:lineRule="auto"/>
            </w:pPr>
            <w:r>
              <w:rPr>
                <w:rFonts w:ascii="Times New Roman" w:hAnsi="Times New Roman"/>
                <w:sz w:val="12"/>
              </w:rPr>
              <w:t>rosh</w:t>
            </w:r>
          </w:p>
        </w:tc>
        <w:tc>
          <w:tcPr>
            <w:tcW w:type="dxa" w:w="3561"/>
            <w:vAlign w:val="top"/>
          </w:tcPr>
          <w:p>
            <w:pPr>
              <w:spacing w:after="0" w:line="221" w:lineRule="auto"/>
            </w:pPr>
            <w:r>
              <w:rPr>
                <w:rFonts w:ascii="Times New Roman" w:hAnsi="Times New Roman"/>
                <w:sz w:val="12"/>
              </w:rPr>
              <w:t>Poison/bitter substance; poppy unproved.</w:t>
            </w:r>
          </w:p>
        </w:tc>
      </w:tr>
      <w:tr>
        <w:tc>
          <w:tcPr>
            <w:tcW w:type="dxa" w:w="3561"/>
            <w:vAlign w:val="top"/>
          </w:tcPr>
          <w:p>
            <w:pPr>
              <w:spacing w:after="0" w:line="221" w:lineRule="auto"/>
            </w:pPr>
            <w:r>
              <w:rPr>
                <w:rFonts w:ascii="Times New Roman" w:hAnsi="Times New Roman"/>
                <w:sz w:val="12"/>
              </w:rPr>
              <w:t>Deut. 32:35</w:t>
            </w:r>
          </w:p>
        </w:tc>
        <w:tc>
          <w:tcPr>
            <w:tcW w:type="dxa" w:w="3561"/>
            <w:vAlign w:val="top"/>
          </w:tcPr>
          <w:p>
            <w:pPr>
              <w:spacing w:after="0" w:line="221" w:lineRule="auto"/>
            </w:pPr>
            <w:r>
              <w:rPr>
                <w:rFonts w:ascii="Times New Roman" w:hAnsi="Times New Roman"/>
                <w:sz w:val="12"/>
              </w:rPr>
              <w:t>vengeance</w:t>
            </w:r>
          </w:p>
        </w:tc>
        <w:tc>
          <w:tcPr>
            <w:tcW w:type="dxa" w:w="3561"/>
            <w:vAlign w:val="top"/>
          </w:tcPr>
          <w:p>
            <w:pPr>
              <w:spacing w:after="0" w:line="221" w:lineRule="auto"/>
            </w:pPr>
            <w:r>
              <w:rPr>
                <w:rFonts w:ascii="Times New Roman" w:hAnsi="Times New Roman"/>
                <w:sz w:val="12"/>
              </w:rPr>
              <w:t>Compare Rom. 12:19; Heb. 10:30.</w:t>
            </w:r>
          </w:p>
        </w:tc>
      </w:tr>
      <w:tr>
        <w:tc>
          <w:tcPr>
            <w:tcW w:type="dxa" w:w="3561"/>
            <w:vAlign w:val="top"/>
          </w:tcPr>
          <w:p>
            <w:pPr>
              <w:spacing w:after="0" w:line="221" w:lineRule="auto"/>
            </w:pPr>
            <w:r>
              <w:rPr>
                <w:rFonts w:ascii="Times New Roman" w:hAnsi="Times New Roman"/>
                <w:sz w:val="12"/>
              </w:rPr>
              <w:t>Deut. 32:36</w:t>
            </w:r>
          </w:p>
        </w:tc>
        <w:tc>
          <w:tcPr>
            <w:tcW w:type="dxa" w:w="3561"/>
            <w:vAlign w:val="top"/>
          </w:tcPr>
          <w:p>
            <w:pPr>
              <w:spacing w:after="0" w:line="221" w:lineRule="auto"/>
            </w:pPr>
            <w:r>
              <w:rPr>
                <w:rFonts w:ascii="Times New Roman" w:hAnsi="Times New Roman"/>
                <w:sz w:val="12"/>
              </w:rPr>
              <w:t>yitnecham</w:t>
            </w:r>
          </w:p>
        </w:tc>
        <w:tc>
          <w:tcPr>
            <w:tcW w:type="dxa" w:w="3561"/>
            <w:vAlign w:val="top"/>
          </w:tcPr>
          <w:p>
            <w:pPr>
              <w:spacing w:after="0" w:line="221" w:lineRule="auto"/>
            </w:pPr>
            <w:r>
              <w:rPr>
                <w:rFonts w:ascii="Times New Roman" w:hAnsi="Times New Roman"/>
                <w:sz w:val="12"/>
              </w:rPr>
              <w:t>Relent/be moved to compassion.</w:t>
            </w:r>
          </w:p>
        </w:tc>
      </w:tr>
      <w:tr>
        <w:tc>
          <w:tcPr>
            <w:tcW w:type="dxa" w:w="3561"/>
            <w:vAlign w:val="top"/>
          </w:tcPr>
          <w:p>
            <w:pPr>
              <w:spacing w:after="0" w:line="221" w:lineRule="auto"/>
            </w:pPr>
            <w:r>
              <w:rPr>
                <w:rFonts w:ascii="Times New Roman" w:hAnsi="Times New Roman"/>
                <w:sz w:val="12"/>
              </w:rPr>
              <w:t>Deut. 32:39</w:t>
            </w:r>
          </w:p>
        </w:tc>
        <w:tc>
          <w:tcPr>
            <w:tcW w:type="dxa" w:w="3561"/>
            <w:vAlign w:val="top"/>
          </w:tcPr>
          <w:p>
            <w:pPr>
              <w:spacing w:after="0" w:line="221" w:lineRule="auto"/>
            </w:pPr>
            <w:r>
              <w:rPr>
                <w:rFonts w:ascii="Times New Roman" w:hAnsi="Times New Roman"/>
                <w:sz w:val="12"/>
              </w:rPr>
              <w:t>no god with me</w:t>
            </w:r>
          </w:p>
        </w:tc>
        <w:tc>
          <w:tcPr>
            <w:tcW w:type="dxa" w:w="3561"/>
            <w:vAlign w:val="top"/>
          </w:tcPr>
          <w:p>
            <w:pPr>
              <w:spacing w:after="0" w:line="221" w:lineRule="auto"/>
            </w:pPr>
            <w:r>
              <w:rPr>
                <w:rFonts w:ascii="Times New Roman" w:hAnsi="Times New Roman"/>
                <w:sz w:val="12"/>
              </w:rPr>
              <w:t>Emphatic Divine sovereignty/monotheism.</w:t>
            </w:r>
          </w:p>
        </w:tc>
      </w:tr>
      <w:tr>
        <w:tc>
          <w:tcPr>
            <w:tcW w:type="dxa" w:w="3561"/>
            <w:vAlign w:val="top"/>
          </w:tcPr>
          <w:p>
            <w:pPr>
              <w:spacing w:after="0" w:line="221" w:lineRule="auto"/>
            </w:pPr>
            <w:r>
              <w:rPr>
                <w:rFonts w:ascii="Times New Roman" w:hAnsi="Times New Roman"/>
                <w:sz w:val="12"/>
              </w:rPr>
              <w:t>Deut. 32:43 MT/KJV</w:t>
            </w:r>
          </w:p>
        </w:tc>
        <w:tc>
          <w:tcPr>
            <w:tcW w:type="dxa" w:w="3561"/>
            <w:vAlign w:val="top"/>
          </w:tcPr>
          <w:p>
            <w:pPr>
              <w:spacing w:after="0" w:line="221" w:lineRule="auto"/>
            </w:pPr>
            <w:r>
              <w:rPr>
                <w:rFonts w:ascii="Times New Roman" w:hAnsi="Times New Roman"/>
                <w:sz w:val="12"/>
              </w:rPr>
              <w:t>shorter form</w:t>
            </w:r>
          </w:p>
        </w:tc>
        <w:tc>
          <w:tcPr>
            <w:tcW w:type="dxa" w:w="3561"/>
            <w:vAlign w:val="top"/>
          </w:tcPr>
          <w:p>
            <w:pPr>
              <w:spacing w:after="0" w:line="221" w:lineRule="auto"/>
            </w:pPr>
            <w:r>
              <w:rPr>
                <w:rFonts w:ascii="Times New Roman" w:hAnsi="Times New Roman"/>
                <w:sz w:val="12"/>
              </w:rPr>
              <w:t>Nations rejoice; vengeance; land/people atonement.</w:t>
            </w:r>
          </w:p>
        </w:tc>
      </w:tr>
      <w:tr>
        <w:tc>
          <w:tcPr>
            <w:tcW w:type="dxa" w:w="3561"/>
            <w:vAlign w:val="top"/>
          </w:tcPr>
          <w:p>
            <w:pPr>
              <w:spacing w:after="0" w:line="221" w:lineRule="auto"/>
            </w:pPr>
            <w:r>
              <w:rPr>
                <w:rFonts w:ascii="Times New Roman" w:hAnsi="Times New Roman"/>
                <w:sz w:val="12"/>
              </w:rPr>
              <w:t>Deut. 32:43 DSS/LXX</w:t>
            </w:r>
          </w:p>
        </w:tc>
        <w:tc>
          <w:tcPr>
            <w:tcW w:type="dxa" w:w="3561"/>
            <w:vAlign w:val="top"/>
          </w:tcPr>
          <w:p>
            <w:pPr>
              <w:spacing w:after="0" w:line="221" w:lineRule="auto"/>
            </w:pPr>
            <w:r>
              <w:rPr>
                <w:rFonts w:ascii="Times New Roman" w:hAnsi="Times New Roman"/>
                <w:sz w:val="12"/>
              </w:rPr>
              <w:t>expanded lines</w:t>
            </w:r>
          </w:p>
        </w:tc>
        <w:tc>
          <w:tcPr>
            <w:tcW w:type="dxa" w:w="3561"/>
            <w:vAlign w:val="top"/>
          </w:tcPr>
          <w:p>
            <w:pPr>
              <w:spacing w:after="0" w:line="221" w:lineRule="auto"/>
            </w:pPr>
            <w:r>
              <w:rPr>
                <w:rFonts w:ascii="Times New Roman" w:hAnsi="Times New Roman"/>
                <w:sz w:val="12"/>
              </w:rPr>
              <w:t>Ancient longer textual tradition.</w:t>
            </w:r>
          </w:p>
        </w:tc>
      </w:tr>
      <w:tr>
        <w:tc>
          <w:tcPr>
            <w:tcW w:type="dxa" w:w="3561"/>
            <w:vAlign w:val="top"/>
          </w:tcPr>
          <w:p>
            <w:pPr>
              <w:spacing w:after="0" w:line="221" w:lineRule="auto"/>
            </w:pPr>
            <w:r>
              <w:rPr>
                <w:rFonts w:ascii="Times New Roman" w:hAnsi="Times New Roman"/>
                <w:sz w:val="12"/>
              </w:rPr>
              <w:t>Rom. 15:10</w:t>
            </w:r>
          </w:p>
        </w:tc>
        <w:tc>
          <w:tcPr>
            <w:tcW w:type="dxa" w:w="3561"/>
            <w:vAlign w:val="top"/>
          </w:tcPr>
          <w:p>
            <w:pPr>
              <w:spacing w:after="0" w:line="221" w:lineRule="auto"/>
            </w:pPr>
            <w:r>
              <w:rPr>
                <w:rFonts w:ascii="Times New Roman" w:hAnsi="Times New Roman"/>
                <w:sz w:val="12"/>
              </w:rPr>
              <w:t>rejoice Gentiles with his people</w:t>
            </w:r>
          </w:p>
        </w:tc>
        <w:tc>
          <w:tcPr>
            <w:tcW w:type="dxa" w:w="3561"/>
            <w:vAlign w:val="top"/>
          </w:tcPr>
          <w:p>
            <w:pPr>
              <w:spacing w:after="0" w:line="221" w:lineRule="auto"/>
            </w:pPr>
            <w:r>
              <w:rPr>
                <w:rFonts w:ascii="Times New Roman" w:hAnsi="Times New Roman"/>
                <w:sz w:val="12"/>
              </w:rPr>
              <w:t>Direct NT quotation of Deut. 32:43.</w:t>
            </w:r>
          </w:p>
        </w:tc>
      </w:tr>
      <w:tr>
        <w:tc>
          <w:tcPr>
            <w:tcW w:type="dxa" w:w="3561"/>
            <w:vAlign w:val="top"/>
          </w:tcPr>
          <w:p>
            <w:pPr>
              <w:spacing w:after="0" w:line="221" w:lineRule="auto"/>
            </w:pPr>
            <w:r>
              <w:rPr>
                <w:rFonts w:ascii="Times New Roman" w:hAnsi="Times New Roman"/>
                <w:sz w:val="12"/>
              </w:rPr>
              <w:t>Deut. 32:43</w:t>
            </w:r>
          </w:p>
        </w:tc>
        <w:tc>
          <w:tcPr>
            <w:tcW w:type="dxa" w:w="3561"/>
            <w:vAlign w:val="top"/>
          </w:tcPr>
          <w:p>
            <w:pPr>
              <w:spacing w:after="0" w:line="221" w:lineRule="auto"/>
            </w:pPr>
            <w:r>
              <w:rPr>
                <w:rFonts w:ascii="Times New Roman" w:hAnsi="Times New Roman"/>
                <w:sz w:val="12"/>
              </w:rPr>
              <w:t>kippēr</w:t>
            </w:r>
          </w:p>
        </w:tc>
        <w:tc>
          <w:tcPr>
            <w:tcW w:type="dxa" w:w="3561"/>
            <w:vAlign w:val="top"/>
          </w:tcPr>
          <w:p>
            <w:pPr>
              <w:spacing w:after="0" w:line="221" w:lineRule="auto"/>
            </w:pPr>
            <w:r>
              <w:rPr>
                <w:rFonts w:ascii="Times New Roman" w:hAnsi="Times New Roman"/>
                <w:sz w:val="12"/>
              </w:rPr>
              <w:t>Atone/purge/cleanse.</w:t>
            </w:r>
          </w:p>
        </w:tc>
      </w:tr>
      <w:tr>
        <w:tc>
          <w:tcPr>
            <w:tcW w:type="dxa" w:w="3561"/>
            <w:vAlign w:val="top"/>
          </w:tcPr>
          <w:p>
            <w:pPr>
              <w:spacing w:after="0" w:line="221" w:lineRule="auto"/>
            </w:pPr>
            <w:r>
              <w:rPr>
                <w:rFonts w:ascii="Times New Roman" w:hAnsi="Times New Roman"/>
                <w:sz w:val="12"/>
              </w:rPr>
              <w:t>Deut. 32:44</w:t>
            </w:r>
          </w:p>
        </w:tc>
        <w:tc>
          <w:tcPr>
            <w:tcW w:type="dxa" w:w="3561"/>
            <w:vAlign w:val="top"/>
          </w:tcPr>
          <w:p>
            <w:pPr>
              <w:spacing w:after="0" w:line="221" w:lineRule="auto"/>
            </w:pPr>
            <w:r>
              <w:rPr>
                <w:rFonts w:ascii="Times New Roman" w:hAnsi="Times New Roman"/>
                <w:sz w:val="12"/>
              </w:rPr>
              <w:t>Hoshea</w:t>
            </w:r>
          </w:p>
        </w:tc>
        <w:tc>
          <w:tcPr>
            <w:tcW w:type="dxa" w:w="3561"/>
            <w:vAlign w:val="top"/>
          </w:tcPr>
          <w:p>
            <w:pPr>
              <w:spacing w:after="0" w:line="221" w:lineRule="auto"/>
            </w:pPr>
            <w:r>
              <w:rPr>
                <w:rFonts w:ascii="Times New Roman" w:hAnsi="Times New Roman"/>
                <w:sz w:val="12"/>
              </w:rPr>
              <w:t>Joshua son of Nun.</w:t>
            </w:r>
          </w:p>
        </w:tc>
      </w:tr>
      <w:tr>
        <w:tc>
          <w:tcPr>
            <w:tcW w:type="dxa" w:w="3561"/>
            <w:vAlign w:val="top"/>
          </w:tcPr>
          <w:p>
            <w:pPr>
              <w:spacing w:after="0" w:line="221" w:lineRule="auto"/>
            </w:pPr>
            <w:r>
              <w:rPr>
                <w:rFonts w:ascii="Times New Roman" w:hAnsi="Times New Roman"/>
                <w:sz w:val="12"/>
              </w:rPr>
              <w:t>Deut. 32:50</w:t>
            </w:r>
          </w:p>
        </w:tc>
        <w:tc>
          <w:tcPr>
            <w:tcW w:type="dxa" w:w="3561"/>
            <w:vAlign w:val="top"/>
          </w:tcPr>
          <w:p>
            <w:pPr>
              <w:spacing w:after="0" w:line="221" w:lineRule="auto"/>
            </w:pPr>
            <w:r>
              <w:rPr>
                <w:rFonts w:ascii="Times New Roman" w:hAnsi="Times New Roman"/>
                <w:sz w:val="12"/>
              </w:rPr>
              <w:t>gathered to people</w:t>
            </w:r>
          </w:p>
        </w:tc>
        <w:tc>
          <w:tcPr>
            <w:tcW w:type="dxa" w:w="3561"/>
            <w:vAlign w:val="top"/>
          </w:tcPr>
          <w:p>
            <w:pPr>
              <w:spacing w:after="0" w:line="221" w:lineRule="auto"/>
            </w:pPr>
            <w:r>
              <w:rPr>
                <w:rFonts w:ascii="Times New Roman" w:hAnsi="Times New Roman"/>
                <w:sz w:val="12"/>
              </w:rPr>
              <w:t>Death idiom.</w:t>
            </w:r>
          </w:p>
        </w:tc>
      </w:tr>
      <w:tr>
        <w:tc>
          <w:tcPr>
            <w:tcW w:type="dxa" w:w="3561"/>
            <w:vAlign w:val="top"/>
          </w:tcPr>
          <w:p>
            <w:pPr>
              <w:spacing w:after="0" w:line="221" w:lineRule="auto"/>
            </w:pPr>
            <w:r>
              <w:rPr>
                <w:rFonts w:ascii="Times New Roman" w:hAnsi="Times New Roman"/>
                <w:sz w:val="12"/>
              </w:rPr>
              <w:t>Deut. 32:51</w:t>
            </w:r>
          </w:p>
        </w:tc>
        <w:tc>
          <w:tcPr>
            <w:tcW w:type="dxa" w:w="3561"/>
            <w:vAlign w:val="top"/>
          </w:tcPr>
          <w:p>
            <w:pPr>
              <w:spacing w:after="0" w:line="221" w:lineRule="auto"/>
            </w:pPr>
            <w:r>
              <w:rPr>
                <w:rFonts w:ascii="Times New Roman" w:hAnsi="Times New Roman"/>
                <w:sz w:val="12"/>
              </w:rPr>
              <w:t>Meribah-Kadesh</w:t>
            </w:r>
          </w:p>
        </w:tc>
        <w:tc>
          <w:tcPr>
            <w:tcW w:type="dxa" w:w="3561"/>
            <w:vAlign w:val="top"/>
          </w:tcPr>
          <w:p>
            <w:pPr>
              <w:spacing w:after="0" w:line="221" w:lineRule="auto"/>
            </w:pPr>
            <w:r>
              <w:rPr>
                <w:rFonts w:ascii="Times New Roman" w:hAnsi="Times New Roman"/>
                <w:sz w:val="12"/>
              </w:rPr>
              <w:t>Moses’ failure to sanctify Yahweh.</w:t>
            </w:r>
          </w:p>
        </w:tc>
      </w:tr>
    </w:tbl>
    <w:p>
      <w:pPr>
        <w:pStyle w:val="Heading1"/>
      </w:pPr>
      <w:r>
        <w:t>RESIDUAL UNCERTAINTIES</w:t>
      </w:r>
    </w:p>
    <w:p>
      <w:pPr/>
      <w:r>
        <w:rPr>
          <w:i w:val="0"/>
        </w:rPr>
        <w:t>The difficult syntax of verse 5 and the precise original forms of verses 8 and 43 remain textual-critical questions. This edition follows the KJV/MT in the main text while recording the Dead Sea/Septuagint variants because they materially affect interpretation. Mansfield’s 70-nation scheme, poppy/opium botany, angelic reading of `Elohim`, and several detailed prophetic-natural-history claims are therefore qualified.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