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DEUTERONOMY 33</w:t>
      </w:r>
    </w:p>
    <w:p>
      <w:pPr>
        <w:pStyle w:val="Subtitle"/>
      </w:pPr>
      <w:r>
        <w:t>MOSES’ FINAL BLESSING • YAHWEH FROM SINAI • TEN THOUSANDS OF HOLY ONES • THE FIERY-LAW PHRASE IS TEXTUALLY DIFFICULT • TRIBAL GIFTS AND VOCATIONS • WILD OXEN, NOT MYTHICAL UNICORNS • THE GOD OF JESHURUN • EVERLASTING ARMS • A PEOPLE SAVED BY YAHWEH</w:t>
      </w:r>
    </w:p>
    <w:p>
      <w:pPr/>
      <w:r>
        <w:rPr>
          <w:i/>
        </w:rPr>
        <w:t>H. P. Mansfield Bible notes — checked and arranged in verse-by-verse Expositor style</w:t>
      </w:r>
    </w:p>
    <w:p>
      <w:pPr/>
      <w:r>
        <w:rPr>
          <w:i w:val="0"/>
        </w:rPr>
        <w:t>Source: HPB 04-Deu01-Jud04.PDF pp. 53–54; cross-checked with Mansfield’s Deuteronomy Expositor Chapter 33 and the Hebrew/KJV text.</w:t>
      </w:r>
    </w:p>
    <w:p>
      <w:pPr>
        <w:pStyle w:val="Heading1"/>
      </w:pPr>
      <w:r>
        <w:t>CHAPTER OVERVIEW</w:t>
      </w:r>
    </w:p>
    <w:p>
      <w:pPr/>
      <w:r>
        <w:rPr>
          <w:i w:val="0"/>
        </w:rPr>
        <w:t>Deuteronomy 33 records Moses’ final blessing of Israel before his death. Individual tribes receive differing gifts and prospects, but the chapter’s final emphasis is national and theological: Israel’s security lies in the incomparable God of Jeshurun.</w:t>
      </w:r>
    </w:p>
    <w:p>
      <w:pPr/>
      <w:r>
        <w:rPr>
          <w:i w:val="0"/>
        </w:rPr>
        <w:t>The opening and several tribal lines are highly poetic and contain difficult Hebrew expressions. Mansfield’s detailed future itinerary and name-based typology are therefore separated from what the text itself securely says.</w:t>
      </w:r>
    </w:p>
    <w:p>
      <w:pPr>
        <w:pStyle w:val="Heading1"/>
      </w:pPr>
      <w:r>
        <w:t>THE MAN OF GOD BLESSES ISRAEL — DEUTERONOMY 33:1</w:t>
      </w:r>
    </w:p>
    <w:p>
      <w:pPr>
        <w:pStyle w:val="Heading2"/>
      </w:pPr>
      <w:r>
        <w:t>Deuteronomy 33:1 — Moses the man of God</w:t>
      </w:r>
    </w:p>
    <w:p>
      <w:pPr/>
      <w:r>
        <w:rPr>
          <w:i w:val="0"/>
        </w:rPr>
        <w:t>The chapter expressly introduces “the blessing, wherewith Moses the man of God blessed the children of Israel before his death.”</w:t>
      </w:r>
    </w:p>
    <w:p>
      <w:pPr/>
      <w:r>
        <w:rPr>
          <w:i w:val="0"/>
        </w:rPr>
        <w:t>`Ish ha-Elohim`, man of God, is an honourable prophetic title. The third-person narrative framing does not by itself identify the person who wrote the final form of the verse.</w:t>
      </w:r>
    </w:p>
    <w:p>
      <w:pPr>
        <w:pStyle w:val="Heading1"/>
      </w:pPr>
      <w:r>
        <w:t>YAHWEH’S MAJESTIC APPEARANCE — DEUTERONOMY 33:2–5</w:t>
      </w:r>
    </w:p>
    <w:p>
      <w:pPr>
        <w:pStyle w:val="Heading2"/>
      </w:pPr>
      <w:r>
        <w:t>Deuteronomy 33:2 — Sinai, Seir and Paran</w:t>
      </w:r>
    </w:p>
    <w:p>
      <w:pPr/>
      <w:r>
        <w:rPr>
          <w:i w:val="0"/>
        </w:rPr>
        <w:t>Yahweh is poetically pictured coming from Sinai, rising/shining from Seir and shining forth from Mount Paran.</w:t>
      </w:r>
    </w:p>
    <w:p>
      <w:pPr/>
      <w:r>
        <w:rPr>
          <w:i w:val="0"/>
        </w:rPr>
        <w:t>The past-tense poetry recalls the Sinai wilderness manifestation. Mansfield’s interpretation of these lines as a precise future route for Christ and immortal saints from a Sinai judgment seat to Jerusalem is a Christadelphian prophetic application, not the grammatical sense explicitly stated by the verse.</w:t>
      </w:r>
    </w:p>
    <w:p>
      <w:pPr>
        <w:pStyle w:val="Heading2"/>
      </w:pPr>
      <w:r>
        <w:t>Deuteronomy 33:2 — ten thousands of holy ones</w:t>
      </w:r>
    </w:p>
    <w:p>
      <w:pPr/>
      <w:r>
        <w:rPr>
          <w:i w:val="0"/>
        </w:rPr>
        <w:t>He comes from `ribbeboth qodesh`, myriads/ten thousands of holiness or holy ones.</w:t>
      </w:r>
    </w:p>
    <w:p>
      <w:pPr/>
      <w:r>
        <w:rPr>
          <w:i w:val="0"/>
        </w:rPr>
        <w:t>The immediate imagery naturally allows a heavenly holy-host interpretation; the exact syntax has textual difficulties. It should not be reduced to a numerical prediction that only a representative ten thousand glorified saints will participate in a future campaign.</w:t>
      </w:r>
    </w:p>
    <w:p>
      <w:pPr>
        <w:pStyle w:val="Heading2"/>
      </w:pPr>
      <w:r>
        <w:t>Deuteronomy 33:2 — “fiery law”</w:t>
      </w:r>
    </w:p>
    <w:p>
      <w:pPr/>
      <w:r>
        <w:rPr>
          <w:i w:val="0"/>
        </w:rPr>
        <w:t>KJV reads, “from his right hand went a fiery law for them.” The unusual Hebrew form commonly printed `eshdat` is textually and lexically difficult.</w:t>
      </w:r>
    </w:p>
    <w:p>
      <w:pPr/>
      <w:r>
        <w:rPr>
          <w:i w:val="0"/>
        </w:rPr>
        <w:t>“Fiery law” is an ancient and defensible traditional rendering, but Mansfield’s claim that `datti` straightforwardly means an imperial mandate is too certain. Modern textual notes acknowledge uncertainty in the word/form.</w:t>
      </w:r>
    </w:p>
    <w:p>
      <w:pPr>
        <w:pStyle w:val="Heading2"/>
      </w:pPr>
      <w:r>
        <w:t>Deuteronomy 33:3 — Yahweh loves His people</w:t>
      </w:r>
    </w:p>
    <w:p>
      <w:pPr/>
      <w:r>
        <w:rPr>
          <w:i w:val="0"/>
        </w:rPr>
        <w:t>Yahweh loves the people; His holy ones are in His hand and receive words at His feet.</w:t>
      </w:r>
    </w:p>
    <w:p>
      <w:pPr/>
      <w:r>
        <w:rPr>
          <w:i w:val="0"/>
        </w:rPr>
        <w:t>The pronouns and poetic syntax are not entirely simple, but the themes of Divine love, protection and reception of instruction are clear.</w:t>
      </w:r>
    </w:p>
    <w:p>
      <w:pPr>
        <w:pStyle w:val="Heading2"/>
      </w:pPr>
      <w:r>
        <w:t>Deuteronomy 33:4 — Torah as Jacob’s inheritance</w:t>
      </w:r>
    </w:p>
    <w:p>
      <w:pPr/>
      <w:r>
        <w:rPr>
          <w:i w:val="0"/>
        </w:rPr>
        <w:t>Moses commanded Israel a law/Torah described as the inheritance of the congregation of Jacob.</w:t>
      </w:r>
    </w:p>
    <w:p>
      <w:pPr>
        <w:pStyle w:val="Heading2"/>
      </w:pPr>
      <w:r>
        <w:t>Deuteronomy 33:5 — king in Jeshurun</w:t>
      </w:r>
    </w:p>
    <w:p>
      <w:pPr/>
      <w:r>
        <w:rPr>
          <w:i w:val="0"/>
        </w:rPr>
        <w:t>The poem says there was a king in Jeshurun when the leaders and tribes were gathered.</w:t>
      </w:r>
    </w:p>
    <w:p>
      <w:pPr/>
      <w:r>
        <w:rPr>
          <w:i w:val="0"/>
        </w:rPr>
        <w:t>Many interpreters understand Yahweh as the King; some have taken Moses as the immediate subject. The context strongly favours Yahweh’s kingship, but the terse poetic syntax should be acknowledged rather than treated as grammatically effortless.</w:t>
      </w:r>
    </w:p>
    <w:p>
      <w:pPr>
        <w:pStyle w:val="Heading1"/>
      </w:pPr>
      <w:r>
        <w:t>REUBEN AND JUDAH — DEUTERONOMY 33:6–7</w:t>
      </w:r>
    </w:p>
    <w:p>
      <w:pPr>
        <w:pStyle w:val="Heading2"/>
      </w:pPr>
      <w:r>
        <w:t>Deuteronomy 33:6 — Reuben lives</w:t>
      </w:r>
    </w:p>
    <w:p>
      <w:pPr/>
      <w:r>
        <w:rPr>
          <w:i w:val="0"/>
        </w:rPr>
        <w:t>Moses asks that Reuben live and not die and that his men not be few.</w:t>
      </w:r>
    </w:p>
    <w:p>
      <w:pPr/>
      <w:r>
        <w:rPr>
          <w:i w:val="0"/>
        </w:rPr>
        <w:t>The line promises tribal preservation. Mansfield’s larger scheme in which Reuben specifically represents fleshly Israel in the Millennium is typology, not the verse’s literal identification.</w:t>
      </w:r>
    </w:p>
    <w:p>
      <w:pPr>
        <w:pStyle w:val="Heading2"/>
      </w:pPr>
      <w:r>
        <w:t>Deuteronomy 33:7 — Judah helped against enemies</w:t>
      </w:r>
    </w:p>
    <w:p>
      <w:pPr/>
      <w:r>
        <w:rPr>
          <w:i w:val="0"/>
        </w:rPr>
        <w:t>Yahweh is asked to hear Judah’s voice, bring him to his people, make his hands sufficient and help him against adversaries.</w:t>
      </w:r>
    </w:p>
    <w:p>
      <w:pPr/>
      <w:r>
        <w:rPr>
          <w:i w:val="0"/>
        </w:rPr>
        <w:t>Judah’s later royal prominence makes Messianic application natural, but the blessing is first spoken to the tribe.</w:t>
      </w:r>
    </w:p>
    <w:p>
      <w:pPr>
        <w:pStyle w:val="Heading1"/>
      </w:pPr>
      <w:r>
        <w:t>LEVI — DEUTERONOMY 33:8–11</w:t>
      </w:r>
    </w:p>
    <w:p>
      <w:pPr>
        <w:pStyle w:val="Heading2"/>
      </w:pPr>
      <w:r>
        <w:t>Deuteronomy 33:8 — Thummim and Urim</w:t>
      </w:r>
    </w:p>
    <w:p>
      <w:pPr/>
      <w:r>
        <w:rPr>
          <w:i w:val="0"/>
        </w:rPr>
        <w:t>Levi is associated with the Thummim and Urim and with testing at Massah and contention at Meribah.</w:t>
      </w:r>
    </w:p>
    <w:p>
      <w:pPr/>
      <w:r>
        <w:rPr>
          <w:i w:val="0"/>
        </w:rPr>
        <w:t>The poetic pronouns are compressed. The line recalls the proving of Yahweh’s priestly servant/tribe in the wilderness; it should not be forced into one oversimplified incident.</w:t>
      </w:r>
    </w:p>
    <w:p>
      <w:pPr>
        <w:pStyle w:val="Heading2"/>
      </w:pPr>
      <w:r>
        <w:t>Deuteronomy 33:9 — loyalty above kinship</w:t>
      </w:r>
    </w:p>
    <w:p>
      <w:pPr/>
      <w:r>
        <w:rPr>
          <w:i w:val="0"/>
        </w:rPr>
        <w:t>Levi is praised for placing covenant loyalty above ordinary family claims, language naturally recalling the crisis surrounding the golden calf.</w:t>
      </w:r>
    </w:p>
    <w:p>
      <w:pPr>
        <w:pStyle w:val="Heading2"/>
      </w:pPr>
      <w:r>
        <w:t>Deuteronomy 33:10 — teaching and worship</w:t>
      </w:r>
    </w:p>
    <w:p>
      <w:pPr/>
      <w:r>
        <w:rPr>
          <w:i w:val="0"/>
        </w:rPr>
        <w:t>Levi’s vocation is to teach Yahweh’s judgments and Torah, present incense and offer whole burnt sacrifice.</w:t>
      </w:r>
    </w:p>
    <w:p>
      <w:pPr>
        <w:pStyle w:val="Heading2"/>
      </w:pPr>
      <w:r>
        <w:t>Deuteronomy 33:11 — bless Levi’s work</w:t>
      </w:r>
    </w:p>
    <w:p>
      <w:pPr/>
      <w:r>
        <w:rPr>
          <w:i w:val="0"/>
        </w:rPr>
        <w:t>Moses asks Yahweh to bless Levi’s resources and accept the work of his hands while defeating those who rise against him.</w:t>
      </w:r>
    </w:p>
    <w:p>
      <w:pPr>
        <w:pStyle w:val="Heading1"/>
      </w:pPr>
      <w:r>
        <w:t>BENJAMIN — DEUTERONOMY 33:12</w:t>
      </w:r>
    </w:p>
    <w:p>
      <w:pPr>
        <w:pStyle w:val="Heading2"/>
      </w:pPr>
      <w:r>
        <w:t>Deuteronomy 33:12 — beloved dwelling securely</w:t>
      </w:r>
    </w:p>
    <w:p>
      <w:pPr/>
      <w:r>
        <w:rPr>
          <w:i w:val="0"/>
        </w:rPr>
        <w:t>Benjamin is called Yahweh’s beloved, dwelling securely by Him, covered all day; Yahweh dwells “between/upon his shoulders.”</w:t>
      </w:r>
    </w:p>
    <w:p>
      <w:pPr/>
      <w:r>
        <w:rPr>
          <w:i w:val="0"/>
        </w:rPr>
        <w:t>The shoulder imagery has often been connected with the elevated Benjamin-Judah sanctuary region and Jerusalem’s border setting. That is plausible geographical exposition, but the exact poetic image is not fully explained by the verse.</w:t>
      </w:r>
    </w:p>
    <w:p>
      <w:pPr>
        <w:pStyle w:val="Heading1"/>
      </w:pPr>
      <w:r>
        <w:t>JOSEPH — DEUTERONOMY 33:13–17</w:t>
      </w:r>
    </w:p>
    <w:p>
      <w:pPr>
        <w:pStyle w:val="Heading2"/>
      </w:pPr>
      <w:r>
        <w:t>Deuteronomy 33:13–16 — abundance and the bush</w:t>
      </w:r>
    </w:p>
    <w:p>
      <w:pPr/>
      <w:r>
        <w:rPr>
          <w:i w:val="0"/>
        </w:rPr>
        <w:t>Joseph receives dew, deep waters, produce of sun and months, ancient mountains, enduring hills and earth’s fullness, crowned by “the good will of him that dwelt in the bush.”</w:t>
      </w:r>
    </w:p>
    <w:p>
      <w:pPr/>
      <w:r>
        <w:rPr>
          <w:i w:val="0"/>
        </w:rPr>
        <w:t>The final phrase recalls Yahweh’s manifestation to Moses at the burning bush and asks that Divine favour rest upon Joseph.</w:t>
      </w:r>
    </w:p>
    <w:p>
      <w:pPr>
        <w:pStyle w:val="Heading2"/>
      </w:pPr>
      <w:r>
        <w:t>Deuteronomy 33:16 — separated from brethren</w:t>
      </w:r>
    </w:p>
    <w:p>
      <w:pPr/>
      <w:r>
        <w:rPr>
          <w:i w:val="0"/>
        </w:rPr>
        <w:t>Joseph is described as `nezir echav`, the one separated/distinguished from his brothers.</w:t>
      </w:r>
    </w:p>
    <w:p>
      <w:pPr/>
      <w:r>
        <w:rPr>
          <w:i w:val="0"/>
        </w:rPr>
        <w:t>`Nazir` here need not mean he had taken a Nazirite vow; it denotes one set apart/distinguished.</w:t>
      </w:r>
    </w:p>
    <w:p>
      <w:pPr>
        <w:pStyle w:val="Heading2"/>
      </w:pPr>
      <w:r>
        <w:t>Deuteronomy 33:17 — KJV “unicorns”</w:t>
      </w:r>
    </w:p>
    <w:p>
      <w:pPr/>
      <w:r>
        <w:rPr>
          <w:i w:val="0"/>
        </w:rPr>
        <w:t>Joseph’s power is pictured with the horns of `re’em`.</w:t>
      </w:r>
    </w:p>
    <w:p>
      <w:pPr/>
      <w:r>
        <w:rPr>
          <w:i w:val="0"/>
        </w:rPr>
        <w:t>KJV “unicorns” reflects older translation tradition. `Re’em` refers to a powerful wild ox/bovid, not the later mythical one-horned horse-like unicorn.</w:t>
      </w:r>
    </w:p>
    <w:p>
      <w:pPr>
        <w:pStyle w:val="Heading2"/>
      </w:pPr>
      <w:r>
        <w:t>Deuteronomy 33:17 — Ephraim and Manasseh</w:t>
      </w:r>
    </w:p>
    <w:p>
      <w:pPr/>
      <w:r>
        <w:rPr>
          <w:i w:val="0"/>
        </w:rPr>
        <w:t>The horns represent Ephraim’s ten thousands and Manasseh’s thousands pushing peoples to the ends of the earth.</w:t>
      </w:r>
    </w:p>
    <w:p>
      <w:pPr/>
      <w:r>
        <w:rPr>
          <w:i w:val="0"/>
        </w:rPr>
        <w:t>The differing numbers express Ephraim’s greater tribal prominence.</w:t>
      </w:r>
    </w:p>
    <w:p>
      <w:pPr>
        <w:pStyle w:val="Heading1"/>
      </w:pPr>
      <w:r>
        <w:t>ZEBULUN AND ISSACHAR — DEUTERONOMY 33:18–19</w:t>
      </w:r>
    </w:p>
    <w:p>
      <w:pPr>
        <w:pStyle w:val="Heading2"/>
      </w:pPr>
      <w:r>
        <w:t>Deuteronomy 33:18 — going out and tents</w:t>
      </w:r>
    </w:p>
    <w:p>
      <w:pPr/>
      <w:r>
        <w:rPr>
          <w:i w:val="0"/>
        </w:rPr>
        <w:t>Zebulun rejoices in going out; Issachar in tents, contrasting outward activity and settled life.</w:t>
      </w:r>
    </w:p>
    <w:p>
      <w:pPr>
        <w:pStyle w:val="Heading2"/>
      </w:pPr>
      <w:r>
        <w:t>Deuteronomy 33:19 — seas and hidden treasures of sand</w:t>
      </w:r>
    </w:p>
    <w:p>
      <w:pPr/>
      <w:r>
        <w:rPr>
          <w:i w:val="0"/>
        </w:rPr>
        <w:t>The tribes call peoples to the mountain, offer righteous sacrifices and draw abundance from seas and treasures hidden in sand.</w:t>
      </w:r>
    </w:p>
    <w:p>
      <w:pPr/>
      <w:r>
        <w:rPr>
          <w:i w:val="0"/>
        </w:rPr>
        <w:t>Suggested identifications include fishing, maritime trade, purple dye, glass-making sand or other coastal resources. The verse does not identify one commodity, so Mansfield-style archaeological certainty should be avoided.</w:t>
      </w:r>
    </w:p>
    <w:p>
      <w:pPr>
        <w:pStyle w:val="Heading1"/>
      </w:pPr>
      <w:r>
        <w:t>GAD, DAN AND NAPHTALI — DEUTERONOMY 33:20–23</w:t>
      </w:r>
    </w:p>
    <w:p>
      <w:pPr>
        <w:pStyle w:val="Heading2"/>
      </w:pPr>
      <w:r>
        <w:t>Deuteronomy 33:20–21 — Gad enlarged</w:t>
      </w:r>
    </w:p>
    <w:p>
      <w:pPr/>
      <w:r>
        <w:rPr>
          <w:i w:val="0"/>
        </w:rPr>
        <w:t>Gad is enlarged, lion-like and receives a first/choice portion because a ruler’s/lawgiver’s portion was reserved there; he joins Israel’s leaders in executing Yahweh’s justice.</w:t>
      </w:r>
    </w:p>
    <w:p>
      <w:pPr/>
      <w:r>
        <w:rPr>
          <w:i w:val="0"/>
        </w:rPr>
        <w:t>The `mechoqeq` clause is difficult and has been interpreted in relation to Gad’s east-Jordan allotment and Moses’ burial region. The exact referent is not certain.</w:t>
      </w:r>
    </w:p>
    <w:p>
      <w:pPr>
        <w:pStyle w:val="Heading2"/>
      </w:pPr>
      <w:r>
        <w:t>Deuteronomy 33:22 — Dan from Bashan</w:t>
      </w:r>
    </w:p>
    <w:p>
      <w:pPr/>
      <w:r>
        <w:rPr>
          <w:i w:val="0"/>
        </w:rPr>
        <w:t>Dan is a lion’s whelp leaping from Bashan.</w:t>
      </w:r>
    </w:p>
    <w:p>
      <w:pPr/>
      <w:r>
        <w:rPr>
          <w:i w:val="0"/>
        </w:rPr>
        <w:t>The geography is striking because Dan’s original allotment lay farther south, while later Danite settlement moved north. The line may anticipate northern association, but the verse itself does not explain the route.</w:t>
      </w:r>
    </w:p>
    <w:p>
      <w:pPr>
        <w:pStyle w:val="Heading2"/>
      </w:pPr>
      <w:r>
        <w:t>Deuteronomy 33:23 — Naphtali</w:t>
      </w:r>
    </w:p>
    <w:p>
      <w:pPr/>
      <w:r>
        <w:rPr>
          <w:i w:val="0"/>
        </w:rPr>
        <w:t>Naphtali is full of Yahweh’s favour and blessing and is told to possess `yam vedarom`, sea/west and south.</w:t>
      </w:r>
    </w:p>
    <w:p>
      <w:pPr/>
      <w:r>
        <w:rPr>
          <w:i w:val="0"/>
        </w:rPr>
        <w:t>`Yam` can mean sea or west. The exact territorial orientation in this poetic blessing is debated; it should not be mapped with false precision.</w:t>
      </w:r>
    </w:p>
    <w:p>
      <w:pPr>
        <w:pStyle w:val="Heading1"/>
      </w:pPr>
      <w:r>
        <w:t>ASHER — DEUTERONOMY 33:24–25</w:t>
      </w:r>
    </w:p>
    <w:p>
      <w:pPr>
        <w:pStyle w:val="Heading2"/>
      </w:pPr>
      <w:r>
        <w:t>Deuteronomy 33:24 — oil abundance</w:t>
      </w:r>
    </w:p>
    <w:p>
      <w:pPr/>
      <w:r>
        <w:rPr>
          <w:i w:val="0"/>
        </w:rPr>
        <w:t>Asher is richly blessed and “dips his foot in oil,” naturally reflecting extraordinary olive fertility.</w:t>
      </w:r>
    </w:p>
    <w:p>
      <w:pPr>
        <w:pStyle w:val="Heading2"/>
      </w:pPr>
      <w:r>
        <w:t>Deuteronomy 33:25 — shoes or bars?</w:t>
      </w:r>
    </w:p>
    <w:p>
      <w:pPr/>
      <w:r>
        <w:rPr>
          <w:i w:val="0"/>
        </w:rPr>
        <w:t>KJV reads, “Thy shoes shall be iron and brass.” The Hebrew `min‘alekha` is difficult and has long produced variant interpretations.</w:t>
      </w:r>
    </w:p>
    <w:p>
      <w:pPr/>
      <w:r>
        <w:rPr>
          <w:i w:val="0"/>
        </w:rPr>
        <w:t>Many modern translations understand “bars/bolts of your gates” of iron and bronze, giving a picture of security; the KJV sandal/shoe tradition remains possible but should not be treated as the only reading.</w:t>
      </w:r>
    </w:p>
    <w:p>
      <w:pPr>
        <w:pStyle w:val="Heading2"/>
      </w:pPr>
      <w:r>
        <w:t>Deuteronomy 33:25 — “as thy days, so thy strength”</w:t>
      </w:r>
    </w:p>
    <w:p>
      <w:pPr/>
      <w:r>
        <w:rPr>
          <w:i w:val="0"/>
        </w:rPr>
        <w:t>The second half is also difficult. KJV gives the memorable “as thy days, so shall thy strength be,” while translations vary between strength, security, rest and enduring vigour.</w:t>
      </w:r>
    </w:p>
    <w:p>
      <w:pPr/>
      <w:r>
        <w:rPr>
          <w:i w:val="0"/>
        </w:rPr>
        <w:t>The devotional use is valuable, but the rare Hebrew term does not justify pretending complete lexical certainty.</w:t>
      </w:r>
    </w:p>
    <w:p>
      <w:pPr>
        <w:pStyle w:val="Heading1"/>
      </w:pPr>
      <w:r>
        <w:t>THE GOD OF JESHURUN — DEUTERONOMY 33:26–29</w:t>
      </w:r>
    </w:p>
    <w:p>
      <w:pPr>
        <w:pStyle w:val="Heading2"/>
      </w:pPr>
      <w:r>
        <w:t>Deuteronomy 33:26 — none like God</w:t>
      </w:r>
    </w:p>
    <w:p>
      <w:pPr/>
      <w:r>
        <w:rPr>
          <w:i w:val="0"/>
        </w:rPr>
        <w:t>No one compares with the God of Jeshurun, who rides the heavens to help Israel and the skies in majesty.</w:t>
      </w:r>
    </w:p>
    <w:p>
      <w:pPr/>
      <w:r>
        <w:rPr>
          <w:i w:val="0"/>
        </w:rPr>
        <w:t>The language is poetic Divine-warrior sovereignty, not a literal description of locomotion.</w:t>
      </w:r>
    </w:p>
    <w:p>
      <w:pPr>
        <w:pStyle w:val="Heading2"/>
      </w:pPr>
      <w:r>
        <w:t>Deuteronomy 33:27 — ancient God and everlasting arms</w:t>
      </w:r>
    </w:p>
    <w:p>
      <w:pPr/>
      <w:r>
        <w:rPr>
          <w:i w:val="0"/>
        </w:rPr>
        <w:t>`Elohei qedem` may be rendered the God of old/ancient God; underneath are everlasting arms. Yahweh drives out the enemy and commands destruction.</w:t>
      </w:r>
    </w:p>
    <w:p>
      <w:pPr/>
      <w:r>
        <w:rPr>
          <w:i w:val="0"/>
        </w:rPr>
        <w:t>KJV “eternal God” expresses the theological sense well, while `qedem` more literally points to antiquity/ancient time.</w:t>
      </w:r>
    </w:p>
    <w:p>
      <w:pPr>
        <w:pStyle w:val="Heading2"/>
      </w:pPr>
      <w:r>
        <w:t>Deuteronomy 33:28 — Israel dwells securely</w:t>
      </w:r>
    </w:p>
    <w:p>
      <w:pPr/>
      <w:r>
        <w:rPr>
          <w:i w:val="0"/>
        </w:rPr>
        <w:t>Israel dwells `badad`, alone/separate, in safety in a land of grain and wine under dew-filled heavens.</w:t>
      </w:r>
    </w:p>
    <w:p>
      <w:pPr/>
      <w:r>
        <w:rPr>
          <w:i w:val="0"/>
        </w:rPr>
        <w:t>`Badad` describes secure distinctness and should not automatically be turned into a political doctrine of permanent international isolation.</w:t>
      </w:r>
    </w:p>
    <w:p>
      <w:pPr>
        <w:pStyle w:val="Heading2"/>
      </w:pPr>
      <w:r>
        <w:t>Deuteronomy 33:29 — saved by Yahweh</w:t>
      </w:r>
    </w:p>
    <w:p>
      <w:pPr/>
      <w:r>
        <w:rPr>
          <w:i w:val="0"/>
        </w:rPr>
        <w:t>The blessing ends: “Happy art thou, O Israel: who is like unto thee, O people saved by Yahweh.” He is shield and sword; enemies submit and Israel treads their high places.</w:t>
      </w:r>
    </w:p>
    <w:p>
      <w:pPr/>
      <w:r>
        <w:rPr>
          <w:i w:val="0"/>
        </w:rPr>
        <w:t>The closing emphasis is salvation by Yahweh rather than autonomous national greatness.</w:t>
      </w:r>
    </w:p>
    <w:p>
      <w:pPr>
        <w:pStyle w:val="Heading1"/>
      </w:pPr>
      <w:r>
        <w:t>PRINCIPAL THEMES</w:t>
      </w:r>
    </w:p>
    <w:p>
      <w:pPr>
        <w:ind w:left="259" w:hanging="202"/>
      </w:pPr>
      <w:r>
        <w:rPr>
          <w:b/>
        </w:rPr>
        <w:t xml:space="preserve">• </w:t>
      </w:r>
      <w:r>
        <w:t>Deuteronomy 33 is poetic blessing, and several lines are textually or lexically difficult.</w:t>
      </w:r>
    </w:p>
    <w:p>
      <w:pPr>
        <w:ind w:left="259" w:hanging="202"/>
      </w:pPr>
      <w:r>
        <w:rPr>
          <w:b/>
        </w:rPr>
        <w:t xml:space="preserve">• </w:t>
      </w:r>
      <w:r>
        <w:t>The Sinai-Seir-Paran opening recalls Divine manifestation; Mansfield’s precise future judgment-seat itinerary is an interpretative scheme.</w:t>
      </w:r>
    </w:p>
    <w:p>
      <w:pPr>
        <w:ind w:left="259" w:hanging="202"/>
      </w:pPr>
      <w:r>
        <w:rPr>
          <w:b/>
        </w:rPr>
        <w:t xml:space="preserve">• </w:t>
      </w:r>
      <w:r>
        <w:t>The “fiery law” expression in verse 2 is genuinely difficult Hebrew.</w:t>
      </w:r>
    </w:p>
    <w:p>
      <w:pPr>
        <w:ind w:left="259" w:hanging="202"/>
      </w:pPr>
      <w:r>
        <w:rPr>
          <w:b/>
        </w:rPr>
        <w:t xml:space="preserve">• </w:t>
      </w:r>
      <w:r>
        <w:t>Yahweh is most naturally the King in Jeshurun, though the compressed syntax has prompted discussion.</w:t>
      </w:r>
    </w:p>
    <w:p>
      <w:pPr>
        <w:ind w:left="259" w:hanging="202"/>
      </w:pPr>
      <w:r>
        <w:rPr>
          <w:b/>
        </w:rPr>
        <w:t xml:space="preserve">• </w:t>
      </w:r>
      <w:r>
        <w:t>`Re’em` means a wild ox/bovid, not a mythical unicorn.</w:t>
      </w:r>
    </w:p>
    <w:p>
      <w:pPr>
        <w:ind w:left="259" w:hanging="202"/>
      </w:pPr>
      <w:r>
        <w:rPr>
          <w:b/>
        </w:rPr>
        <w:t xml:space="preserve">• </w:t>
      </w:r>
      <w:r>
        <w:t>`Nazir` of Joseph means separated/distinguished, not proof of a Nazirite vow.</w:t>
      </w:r>
    </w:p>
    <w:p>
      <w:pPr>
        <w:ind w:left="259" w:hanging="202"/>
      </w:pPr>
      <w:r>
        <w:rPr>
          <w:b/>
        </w:rPr>
        <w:t xml:space="preserve">• </w:t>
      </w:r>
      <w:r>
        <w:t>The treasures hidden in sand are not identified precisely.</w:t>
      </w:r>
    </w:p>
    <w:p>
      <w:pPr>
        <w:ind w:left="259" w:hanging="202"/>
      </w:pPr>
      <w:r>
        <w:rPr>
          <w:b/>
        </w:rPr>
        <w:t xml:space="preserve">• </w:t>
      </w:r>
      <w:r>
        <w:t>Gad’s “lawgiver’s portion” is difficult and should not be over-mapped.</w:t>
      </w:r>
    </w:p>
    <w:p>
      <w:pPr>
        <w:ind w:left="259" w:hanging="202"/>
      </w:pPr>
      <w:r>
        <w:rPr>
          <w:b/>
        </w:rPr>
        <w:t xml:space="preserve">• </w:t>
      </w:r>
      <w:r>
        <w:t>Naphtali’s sea/west-and-south geography is poetic and debated.</w:t>
      </w:r>
    </w:p>
    <w:p>
      <w:pPr>
        <w:ind w:left="259" w:hanging="202"/>
      </w:pPr>
      <w:r>
        <w:rPr>
          <w:b/>
        </w:rPr>
        <w:t xml:space="preserve">• </w:t>
      </w:r>
      <w:r>
        <w:t>Deuteronomy 33:25 has two notable lexical difficulties: shoes/bars and strength/security.</w:t>
      </w:r>
    </w:p>
    <w:p>
      <w:pPr>
        <w:ind w:left="259" w:hanging="202"/>
      </w:pPr>
      <w:r>
        <w:rPr>
          <w:b/>
        </w:rPr>
        <w:t xml:space="preserve">• </w:t>
      </w:r>
      <w:r>
        <w:t>`Elohei qedem` is the ancient/eternal God.</w:t>
      </w:r>
    </w:p>
    <w:p>
      <w:pPr>
        <w:ind w:left="259" w:hanging="202"/>
      </w:pPr>
      <w:r>
        <w:rPr>
          <w:b/>
        </w:rPr>
        <w:t xml:space="preserve">• </w:t>
      </w:r>
      <w:r>
        <w:t>Israel’s happiness consists finally in being saved by Yahweh.</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line="221" w:lineRule="auto"/>
            </w:pPr>
            <w:r>
              <w:rPr>
                <w:rFonts w:ascii="Times New Roman" w:hAnsi="Times New Roman"/>
                <w:sz w:val="13"/>
              </w:rPr>
              <w:t>Deut. 33:1</w:t>
            </w:r>
          </w:p>
        </w:tc>
        <w:tc>
          <w:tcPr>
            <w:tcW w:type="dxa" w:w="3561"/>
            <w:vAlign w:val="top"/>
          </w:tcPr>
          <w:p>
            <w:pPr>
              <w:spacing w:after="0" w:line="221" w:lineRule="auto"/>
            </w:pPr>
            <w:r>
              <w:rPr>
                <w:rFonts w:ascii="Times New Roman" w:hAnsi="Times New Roman"/>
                <w:sz w:val="13"/>
              </w:rPr>
              <w:t>man of God</w:t>
            </w:r>
          </w:p>
        </w:tc>
        <w:tc>
          <w:tcPr>
            <w:tcW w:type="dxa" w:w="3561"/>
            <w:vAlign w:val="top"/>
          </w:tcPr>
          <w:p>
            <w:pPr>
              <w:spacing w:after="0" w:line="221" w:lineRule="auto"/>
            </w:pPr>
            <w:r>
              <w:rPr>
                <w:rFonts w:ascii="Times New Roman" w:hAnsi="Times New Roman"/>
                <w:sz w:val="13"/>
              </w:rPr>
              <w:t>Prophetic title for Moses.</w:t>
            </w:r>
          </w:p>
        </w:tc>
      </w:tr>
      <w:tr>
        <w:tc>
          <w:tcPr>
            <w:tcW w:type="dxa" w:w="3561"/>
            <w:vAlign w:val="top"/>
          </w:tcPr>
          <w:p>
            <w:pPr>
              <w:spacing w:after="0" w:line="221" w:lineRule="auto"/>
            </w:pPr>
            <w:r>
              <w:rPr>
                <w:rFonts w:ascii="Times New Roman" w:hAnsi="Times New Roman"/>
                <w:sz w:val="13"/>
              </w:rPr>
              <w:t>Deut. 33:2</w:t>
            </w:r>
          </w:p>
        </w:tc>
        <w:tc>
          <w:tcPr>
            <w:tcW w:type="dxa" w:w="3561"/>
            <w:vAlign w:val="top"/>
          </w:tcPr>
          <w:p>
            <w:pPr>
              <w:spacing w:after="0" w:line="221" w:lineRule="auto"/>
            </w:pPr>
            <w:r>
              <w:rPr>
                <w:rFonts w:ascii="Times New Roman" w:hAnsi="Times New Roman"/>
                <w:sz w:val="13"/>
              </w:rPr>
              <w:t>Sinai / Seir / Paran</w:t>
            </w:r>
          </w:p>
        </w:tc>
        <w:tc>
          <w:tcPr>
            <w:tcW w:type="dxa" w:w="3561"/>
            <w:vAlign w:val="top"/>
          </w:tcPr>
          <w:p>
            <w:pPr>
              <w:spacing w:after="0" w:line="221" w:lineRule="auto"/>
            </w:pPr>
            <w:r>
              <w:rPr>
                <w:rFonts w:ascii="Times New Roman" w:hAnsi="Times New Roman"/>
                <w:sz w:val="13"/>
              </w:rPr>
              <w:t>Poetic Divine manifestation; future route application secondary.</w:t>
            </w:r>
          </w:p>
        </w:tc>
      </w:tr>
      <w:tr>
        <w:tc>
          <w:tcPr>
            <w:tcW w:type="dxa" w:w="3561"/>
            <w:vAlign w:val="top"/>
          </w:tcPr>
          <w:p>
            <w:pPr>
              <w:spacing w:after="0" w:line="221" w:lineRule="auto"/>
            </w:pPr>
            <w:r>
              <w:rPr>
                <w:rFonts w:ascii="Times New Roman" w:hAnsi="Times New Roman"/>
                <w:sz w:val="13"/>
              </w:rPr>
              <w:t>Deut. 33:2</w:t>
            </w:r>
          </w:p>
        </w:tc>
        <w:tc>
          <w:tcPr>
            <w:tcW w:type="dxa" w:w="3561"/>
            <w:vAlign w:val="top"/>
          </w:tcPr>
          <w:p>
            <w:pPr>
              <w:spacing w:after="0" w:line="221" w:lineRule="auto"/>
            </w:pPr>
            <w:r>
              <w:rPr>
                <w:rFonts w:ascii="Times New Roman" w:hAnsi="Times New Roman"/>
                <w:sz w:val="13"/>
              </w:rPr>
              <w:t>ribbeboth qodesh</w:t>
            </w:r>
          </w:p>
        </w:tc>
        <w:tc>
          <w:tcPr>
            <w:tcW w:type="dxa" w:w="3561"/>
            <w:vAlign w:val="top"/>
          </w:tcPr>
          <w:p>
            <w:pPr>
              <w:spacing w:after="0" w:line="221" w:lineRule="auto"/>
            </w:pPr>
            <w:r>
              <w:rPr>
                <w:rFonts w:ascii="Times New Roman" w:hAnsi="Times New Roman"/>
                <w:sz w:val="13"/>
              </w:rPr>
              <w:t>Myriads/ten thousands of holy ones.</w:t>
            </w:r>
          </w:p>
        </w:tc>
      </w:tr>
      <w:tr>
        <w:tc>
          <w:tcPr>
            <w:tcW w:type="dxa" w:w="3561"/>
            <w:vAlign w:val="top"/>
          </w:tcPr>
          <w:p>
            <w:pPr>
              <w:spacing w:after="0" w:line="221" w:lineRule="auto"/>
            </w:pPr>
            <w:r>
              <w:rPr>
                <w:rFonts w:ascii="Times New Roman" w:hAnsi="Times New Roman"/>
                <w:sz w:val="13"/>
              </w:rPr>
              <w:t>Deut. 33:2</w:t>
            </w:r>
          </w:p>
        </w:tc>
        <w:tc>
          <w:tcPr>
            <w:tcW w:type="dxa" w:w="3561"/>
            <w:vAlign w:val="top"/>
          </w:tcPr>
          <w:p>
            <w:pPr>
              <w:spacing w:after="0" w:line="221" w:lineRule="auto"/>
            </w:pPr>
            <w:r>
              <w:rPr>
                <w:rFonts w:ascii="Times New Roman" w:hAnsi="Times New Roman"/>
                <w:sz w:val="13"/>
              </w:rPr>
              <w:t>eshdat</w:t>
            </w:r>
          </w:p>
        </w:tc>
        <w:tc>
          <w:tcPr>
            <w:tcW w:type="dxa" w:w="3561"/>
            <w:vAlign w:val="top"/>
          </w:tcPr>
          <w:p>
            <w:pPr>
              <w:spacing w:after="0" w:line="221" w:lineRule="auto"/>
            </w:pPr>
            <w:r>
              <w:rPr>
                <w:rFonts w:ascii="Times New Roman" w:hAnsi="Times New Roman"/>
                <w:sz w:val="13"/>
              </w:rPr>
              <w:t>Difficult Hebrew form; KJV “fiery law” traditional, not lexically simple.</w:t>
            </w:r>
          </w:p>
        </w:tc>
      </w:tr>
      <w:tr>
        <w:tc>
          <w:tcPr>
            <w:tcW w:type="dxa" w:w="3561"/>
            <w:vAlign w:val="top"/>
          </w:tcPr>
          <w:p>
            <w:pPr>
              <w:spacing w:after="0" w:line="221" w:lineRule="auto"/>
            </w:pPr>
            <w:r>
              <w:rPr>
                <w:rFonts w:ascii="Times New Roman" w:hAnsi="Times New Roman"/>
                <w:sz w:val="13"/>
              </w:rPr>
              <w:t>Deut. 33:3</w:t>
            </w:r>
          </w:p>
        </w:tc>
        <w:tc>
          <w:tcPr>
            <w:tcW w:type="dxa" w:w="3561"/>
            <w:vAlign w:val="top"/>
          </w:tcPr>
          <w:p>
            <w:pPr>
              <w:spacing w:after="0" w:line="221" w:lineRule="auto"/>
            </w:pPr>
            <w:r>
              <w:rPr>
                <w:rFonts w:ascii="Times New Roman" w:hAnsi="Times New Roman"/>
                <w:sz w:val="13"/>
              </w:rPr>
              <w:t>holy ones / pronouns</w:t>
            </w:r>
          </w:p>
        </w:tc>
        <w:tc>
          <w:tcPr>
            <w:tcW w:type="dxa" w:w="3561"/>
            <w:vAlign w:val="top"/>
          </w:tcPr>
          <w:p>
            <w:pPr>
              <w:spacing w:after="0" w:line="221" w:lineRule="auto"/>
            </w:pPr>
            <w:r>
              <w:rPr>
                <w:rFonts w:ascii="Times New Roman" w:hAnsi="Times New Roman"/>
                <w:sz w:val="13"/>
              </w:rPr>
              <w:t>Poetic syntax/textual issues.</w:t>
            </w:r>
          </w:p>
        </w:tc>
      </w:tr>
      <w:tr>
        <w:tc>
          <w:tcPr>
            <w:tcW w:type="dxa" w:w="3561"/>
            <w:vAlign w:val="top"/>
          </w:tcPr>
          <w:p>
            <w:pPr>
              <w:spacing w:after="0" w:line="221" w:lineRule="auto"/>
            </w:pPr>
            <w:r>
              <w:rPr>
                <w:rFonts w:ascii="Times New Roman" w:hAnsi="Times New Roman"/>
                <w:sz w:val="13"/>
              </w:rPr>
              <w:t>Deut. 33:5</w:t>
            </w:r>
          </w:p>
        </w:tc>
        <w:tc>
          <w:tcPr>
            <w:tcW w:type="dxa" w:w="3561"/>
            <w:vAlign w:val="top"/>
          </w:tcPr>
          <w:p>
            <w:pPr>
              <w:spacing w:after="0" w:line="221" w:lineRule="auto"/>
            </w:pPr>
            <w:r>
              <w:rPr>
                <w:rFonts w:ascii="Times New Roman" w:hAnsi="Times New Roman"/>
                <w:sz w:val="13"/>
              </w:rPr>
              <w:t>king in Jeshurun</w:t>
            </w:r>
          </w:p>
        </w:tc>
        <w:tc>
          <w:tcPr>
            <w:tcW w:type="dxa" w:w="3561"/>
            <w:vAlign w:val="top"/>
          </w:tcPr>
          <w:p>
            <w:pPr>
              <w:spacing w:after="0" w:line="221" w:lineRule="auto"/>
            </w:pPr>
            <w:r>
              <w:rPr>
                <w:rFonts w:ascii="Times New Roman" w:hAnsi="Times New Roman"/>
                <w:sz w:val="13"/>
              </w:rPr>
              <w:t>Yahweh most natural subject; poetic syntax terse.</w:t>
            </w:r>
          </w:p>
        </w:tc>
      </w:tr>
      <w:tr>
        <w:tc>
          <w:tcPr>
            <w:tcW w:type="dxa" w:w="3561"/>
            <w:vAlign w:val="top"/>
          </w:tcPr>
          <w:p>
            <w:pPr>
              <w:spacing w:after="0" w:line="221" w:lineRule="auto"/>
            </w:pPr>
            <w:r>
              <w:rPr>
                <w:rFonts w:ascii="Times New Roman" w:hAnsi="Times New Roman"/>
                <w:sz w:val="13"/>
              </w:rPr>
              <w:t>Deut. 33:8</w:t>
            </w:r>
          </w:p>
        </w:tc>
        <w:tc>
          <w:tcPr>
            <w:tcW w:type="dxa" w:w="3561"/>
            <w:vAlign w:val="top"/>
          </w:tcPr>
          <w:p>
            <w:pPr>
              <w:spacing w:after="0" w:line="221" w:lineRule="auto"/>
            </w:pPr>
            <w:r>
              <w:rPr>
                <w:rFonts w:ascii="Times New Roman" w:hAnsi="Times New Roman"/>
                <w:sz w:val="13"/>
              </w:rPr>
              <w:t>Massah/Meribah</w:t>
            </w:r>
          </w:p>
        </w:tc>
        <w:tc>
          <w:tcPr>
            <w:tcW w:type="dxa" w:w="3561"/>
            <w:vAlign w:val="top"/>
          </w:tcPr>
          <w:p>
            <w:pPr>
              <w:spacing w:after="0" w:line="221" w:lineRule="auto"/>
            </w:pPr>
            <w:r>
              <w:rPr>
                <w:rFonts w:ascii="Times New Roman" w:hAnsi="Times New Roman"/>
                <w:sz w:val="13"/>
              </w:rPr>
              <w:t>Compressed priestly/Levitical testing language.</w:t>
            </w:r>
          </w:p>
        </w:tc>
      </w:tr>
      <w:tr>
        <w:tc>
          <w:tcPr>
            <w:tcW w:type="dxa" w:w="3561"/>
            <w:vAlign w:val="top"/>
          </w:tcPr>
          <w:p>
            <w:pPr>
              <w:spacing w:after="0" w:line="221" w:lineRule="auto"/>
            </w:pPr>
            <w:r>
              <w:rPr>
                <w:rFonts w:ascii="Times New Roman" w:hAnsi="Times New Roman"/>
                <w:sz w:val="13"/>
              </w:rPr>
              <w:t>Deut. 33:12</w:t>
            </w:r>
          </w:p>
        </w:tc>
        <w:tc>
          <w:tcPr>
            <w:tcW w:type="dxa" w:w="3561"/>
            <w:vAlign w:val="top"/>
          </w:tcPr>
          <w:p>
            <w:pPr>
              <w:spacing w:after="0" w:line="221" w:lineRule="auto"/>
            </w:pPr>
            <w:r>
              <w:rPr>
                <w:rFonts w:ascii="Times New Roman" w:hAnsi="Times New Roman"/>
                <w:sz w:val="13"/>
              </w:rPr>
              <w:t>between/upon shoulders</w:t>
            </w:r>
          </w:p>
        </w:tc>
        <w:tc>
          <w:tcPr>
            <w:tcW w:type="dxa" w:w="3561"/>
            <w:vAlign w:val="top"/>
          </w:tcPr>
          <w:p>
            <w:pPr>
              <w:spacing w:after="0" w:line="221" w:lineRule="auto"/>
            </w:pPr>
            <w:r>
              <w:rPr>
                <w:rFonts w:ascii="Times New Roman" w:hAnsi="Times New Roman"/>
                <w:sz w:val="13"/>
              </w:rPr>
              <w:t>Sanctuary-geography application plausible, not certain.</w:t>
            </w:r>
          </w:p>
        </w:tc>
      </w:tr>
      <w:tr>
        <w:tc>
          <w:tcPr>
            <w:tcW w:type="dxa" w:w="3561"/>
            <w:vAlign w:val="top"/>
          </w:tcPr>
          <w:p>
            <w:pPr>
              <w:spacing w:after="0" w:line="221" w:lineRule="auto"/>
            </w:pPr>
            <w:r>
              <w:rPr>
                <w:rFonts w:ascii="Times New Roman" w:hAnsi="Times New Roman"/>
                <w:sz w:val="13"/>
              </w:rPr>
              <w:t>Deut. 33:16</w:t>
            </w:r>
          </w:p>
        </w:tc>
        <w:tc>
          <w:tcPr>
            <w:tcW w:type="dxa" w:w="3561"/>
            <w:vAlign w:val="top"/>
          </w:tcPr>
          <w:p>
            <w:pPr>
              <w:spacing w:after="0" w:line="221" w:lineRule="auto"/>
            </w:pPr>
            <w:r>
              <w:rPr>
                <w:rFonts w:ascii="Times New Roman" w:hAnsi="Times New Roman"/>
                <w:sz w:val="13"/>
              </w:rPr>
              <w:t>nezir echav</w:t>
            </w:r>
          </w:p>
        </w:tc>
        <w:tc>
          <w:tcPr>
            <w:tcW w:type="dxa" w:w="3561"/>
            <w:vAlign w:val="top"/>
          </w:tcPr>
          <w:p>
            <w:pPr>
              <w:spacing w:after="0" w:line="221" w:lineRule="auto"/>
            </w:pPr>
            <w:r>
              <w:rPr>
                <w:rFonts w:ascii="Times New Roman" w:hAnsi="Times New Roman"/>
                <w:sz w:val="13"/>
              </w:rPr>
              <w:t>Separated/distinguished among brothers.</w:t>
            </w:r>
          </w:p>
        </w:tc>
      </w:tr>
      <w:tr>
        <w:tc>
          <w:tcPr>
            <w:tcW w:type="dxa" w:w="3561"/>
            <w:vAlign w:val="top"/>
          </w:tcPr>
          <w:p>
            <w:pPr>
              <w:spacing w:after="0" w:line="221" w:lineRule="auto"/>
            </w:pPr>
            <w:r>
              <w:rPr>
                <w:rFonts w:ascii="Times New Roman" w:hAnsi="Times New Roman"/>
                <w:sz w:val="13"/>
              </w:rPr>
              <w:t>Deut. 33:17</w:t>
            </w:r>
          </w:p>
        </w:tc>
        <w:tc>
          <w:tcPr>
            <w:tcW w:type="dxa" w:w="3561"/>
            <w:vAlign w:val="top"/>
          </w:tcPr>
          <w:p>
            <w:pPr>
              <w:spacing w:after="0" w:line="221" w:lineRule="auto"/>
            </w:pPr>
            <w:r>
              <w:rPr>
                <w:rFonts w:ascii="Times New Roman" w:hAnsi="Times New Roman"/>
                <w:sz w:val="13"/>
              </w:rPr>
              <w:t>re’em</w:t>
            </w:r>
          </w:p>
        </w:tc>
        <w:tc>
          <w:tcPr>
            <w:tcW w:type="dxa" w:w="3561"/>
            <w:vAlign w:val="top"/>
          </w:tcPr>
          <w:p>
            <w:pPr>
              <w:spacing w:after="0" w:line="221" w:lineRule="auto"/>
            </w:pPr>
            <w:r>
              <w:rPr>
                <w:rFonts w:ascii="Times New Roman" w:hAnsi="Times New Roman"/>
                <w:sz w:val="13"/>
              </w:rPr>
              <w:t>Wild ox/bovid; KJV “unicorn.”</w:t>
            </w:r>
          </w:p>
        </w:tc>
      </w:tr>
      <w:tr>
        <w:tc>
          <w:tcPr>
            <w:tcW w:type="dxa" w:w="3561"/>
            <w:vAlign w:val="top"/>
          </w:tcPr>
          <w:p>
            <w:pPr>
              <w:spacing w:after="0" w:line="221" w:lineRule="auto"/>
            </w:pPr>
            <w:r>
              <w:rPr>
                <w:rFonts w:ascii="Times New Roman" w:hAnsi="Times New Roman"/>
                <w:sz w:val="13"/>
              </w:rPr>
              <w:t>Deut. 33:19</w:t>
            </w:r>
          </w:p>
        </w:tc>
        <w:tc>
          <w:tcPr>
            <w:tcW w:type="dxa" w:w="3561"/>
            <w:vAlign w:val="top"/>
          </w:tcPr>
          <w:p>
            <w:pPr>
              <w:spacing w:after="0" w:line="221" w:lineRule="auto"/>
            </w:pPr>
            <w:r>
              <w:rPr>
                <w:rFonts w:ascii="Times New Roman" w:hAnsi="Times New Roman"/>
                <w:sz w:val="13"/>
              </w:rPr>
              <w:t>hidden treasures of sand</w:t>
            </w:r>
          </w:p>
        </w:tc>
        <w:tc>
          <w:tcPr>
            <w:tcW w:type="dxa" w:w="3561"/>
            <w:vAlign w:val="top"/>
          </w:tcPr>
          <w:p>
            <w:pPr>
              <w:spacing w:after="0" w:line="221" w:lineRule="auto"/>
            </w:pPr>
            <w:r>
              <w:rPr>
                <w:rFonts w:ascii="Times New Roman" w:hAnsi="Times New Roman"/>
                <w:sz w:val="13"/>
              </w:rPr>
              <w:t>Exact resource uncertain.</w:t>
            </w:r>
          </w:p>
        </w:tc>
      </w:tr>
      <w:tr>
        <w:tc>
          <w:tcPr>
            <w:tcW w:type="dxa" w:w="3561"/>
            <w:vAlign w:val="top"/>
          </w:tcPr>
          <w:p>
            <w:pPr>
              <w:spacing w:after="0" w:line="221" w:lineRule="auto"/>
            </w:pPr>
            <w:r>
              <w:rPr>
                <w:rFonts w:ascii="Times New Roman" w:hAnsi="Times New Roman"/>
                <w:sz w:val="13"/>
              </w:rPr>
              <w:t>Deut. 33:21</w:t>
            </w:r>
          </w:p>
        </w:tc>
        <w:tc>
          <w:tcPr>
            <w:tcW w:type="dxa" w:w="3561"/>
            <w:vAlign w:val="top"/>
          </w:tcPr>
          <w:p>
            <w:pPr>
              <w:spacing w:after="0" w:line="221" w:lineRule="auto"/>
            </w:pPr>
            <w:r>
              <w:rPr>
                <w:rFonts w:ascii="Times New Roman" w:hAnsi="Times New Roman"/>
                <w:sz w:val="13"/>
              </w:rPr>
              <w:t>mechoqeq</w:t>
            </w:r>
          </w:p>
        </w:tc>
        <w:tc>
          <w:tcPr>
            <w:tcW w:type="dxa" w:w="3561"/>
            <w:vAlign w:val="top"/>
          </w:tcPr>
          <w:p>
            <w:pPr>
              <w:spacing w:after="0" w:line="221" w:lineRule="auto"/>
            </w:pPr>
            <w:r>
              <w:rPr>
                <w:rFonts w:ascii="Times New Roman" w:hAnsi="Times New Roman"/>
                <w:sz w:val="13"/>
              </w:rPr>
              <w:t>Ruler/lawgiver; clause difficult.</w:t>
            </w:r>
          </w:p>
        </w:tc>
      </w:tr>
      <w:tr>
        <w:tc>
          <w:tcPr>
            <w:tcW w:type="dxa" w:w="3561"/>
            <w:vAlign w:val="top"/>
          </w:tcPr>
          <w:p>
            <w:pPr>
              <w:spacing w:after="0" w:line="221" w:lineRule="auto"/>
            </w:pPr>
            <w:r>
              <w:rPr>
                <w:rFonts w:ascii="Times New Roman" w:hAnsi="Times New Roman"/>
                <w:sz w:val="13"/>
              </w:rPr>
              <w:t>Deut. 33:22</w:t>
            </w:r>
          </w:p>
        </w:tc>
        <w:tc>
          <w:tcPr>
            <w:tcW w:type="dxa" w:w="3561"/>
            <w:vAlign w:val="top"/>
          </w:tcPr>
          <w:p>
            <w:pPr>
              <w:spacing w:after="0" w:line="221" w:lineRule="auto"/>
            </w:pPr>
            <w:r>
              <w:rPr>
                <w:rFonts w:ascii="Times New Roman" w:hAnsi="Times New Roman"/>
                <w:sz w:val="13"/>
              </w:rPr>
              <w:t>Dan from Bashan</w:t>
            </w:r>
          </w:p>
        </w:tc>
        <w:tc>
          <w:tcPr>
            <w:tcW w:type="dxa" w:w="3561"/>
            <w:vAlign w:val="top"/>
          </w:tcPr>
          <w:p>
            <w:pPr>
              <w:spacing w:after="0" w:line="221" w:lineRule="auto"/>
            </w:pPr>
            <w:r>
              <w:rPr>
                <w:rFonts w:ascii="Times New Roman" w:hAnsi="Times New Roman"/>
                <w:sz w:val="13"/>
              </w:rPr>
              <w:t>Northern association possible; explanation unstated.</w:t>
            </w:r>
          </w:p>
        </w:tc>
      </w:tr>
      <w:tr>
        <w:tc>
          <w:tcPr>
            <w:tcW w:type="dxa" w:w="3561"/>
            <w:vAlign w:val="top"/>
          </w:tcPr>
          <w:p>
            <w:pPr>
              <w:spacing w:after="0" w:line="221" w:lineRule="auto"/>
            </w:pPr>
            <w:r>
              <w:rPr>
                <w:rFonts w:ascii="Times New Roman" w:hAnsi="Times New Roman"/>
                <w:sz w:val="13"/>
              </w:rPr>
              <w:t>Deut. 33:23</w:t>
            </w:r>
          </w:p>
        </w:tc>
        <w:tc>
          <w:tcPr>
            <w:tcW w:type="dxa" w:w="3561"/>
            <w:vAlign w:val="top"/>
          </w:tcPr>
          <w:p>
            <w:pPr>
              <w:spacing w:after="0" w:line="221" w:lineRule="auto"/>
            </w:pPr>
            <w:r>
              <w:rPr>
                <w:rFonts w:ascii="Times New Roman" w:hAnsi="Times New Roman"/>
                <w:sz w:val="13"/>
              </w:rPr>
              <w:t>yam vedarom</w:t>
            </w:r>
          </w:p>
        </w:tc>
        <w:tc>
          <w:tcPr>
            <w:tcW w:type="dxa" w:w="3561"/>
            <w:vAlign w:val="top"/>
          </w:tcPr>
          <w:p>
            <w:pPr>
              <w:spacing w:after="0" w:line="221" w:lineRule="auto"/>
            </w:pPr>
            <w:r>
              <w:rPr>
                <w:rFonts w:ascii="Times New Roman" w:hAnsi="Times New Roman"/>
                <w:sz w:val="13"/>
              </w:rPr>
              <w:t>Sea/west and south; precise geography debated.</w:t>
            </w:r>
          </w:p>
        </w:tc>
      </w:tr>
      <w:tr>
        <w:tc>
          <w:tcPr>
            <w:tcW w:type="dxa" w:w="3561"/>
            <w:vAlign w:val="top"/>
          </w:tcPr>
          <w:p>
            <w:pPr>
              <w:spacing w:after="0" w:line="221" w:lineRule="auto"/>
            </w:pPr>
            <w:r>
              <w:rPr>
                <w:rFonts w:ascii="Times New Roman" w:hAnsi="Times New Roman"/>
                <w:sz w:val="13"/>
              </w:rPr>
              <w:t>Deut. 33:25</w:t>
            </w:r>
          </w:p>
        </w:tc>
        <w:tc>
          <w:tcPr>
            <w:tcW w:type="dxa" w:w="3561"/>
            <w:vAlign w:val="top"/>
          </w:tcPr>
          <w:p>
            <w:pPr>
              <w:spacing w:after="0" w:line="221" w:lineRule="auto"/>
            </w:pPr>
            <w:r>
              <w:rPr>
                <w:rFonts w:ascii="Times New Roman" w:hAnsi="Times New Roman"/>
                <w:sz w:val="13"/>
              </w:rPr>
              <w:t>min‘alekha</w:t>
            </w:r>
          </w:p>
        </w:tc>
        <w:tc>
          <w:tcPr>
            <w:tcW w:type="dxa" w:w="3561"/>
            <w:vAlign w:val="top"/>
          </w:tcPr>
          <w:p>
            <w:pPr>
              <w:spacing w:after="0" w:line="221" w:lineRule="auto"/>
            </w:pPr>
            <w:r>
              <w:rPr>
                <w:rFonts w:ascii="Times New Roman" w:hAnsi="Times New Roman"/>
                <w:sz w:val="13"/>
              </w:rPr>
              <w:t>Shoes/sandals versus bars/bolts disputed.</w:t>
            </w:r>
          </w:p>
        </w:tc>
      </w:tr>
      <w:tr>
        <w:tc>
          <w:tcPr>
            <w:tcW w:type="dxa" w:w="3561"/>
            <w:vAlign w:val="top"/>
          </w:tcPr>
          <w:p>
            <w:pPr>
              <w:spacing w:after="0" w:line="221" w:lineRule="auto"/>
            </w:pPr>
            <w:r>
              <w:rPr>
                <w:rFonts w:ascii="Times New Roman" w:hAnsi="Times New Roman"/>
                <w:sz w:val="13"/>
              </w:rPr>
              <w:t>Deut. 33:25</w:t>
            </w:r>
          </w:p>
        </w:tc>
        <w:tc>
          <w:tcPr>
            <w:tcW w:type="dxa" w:w="3561"/>
            <w:vAlign w:val="top"/>
          </w:tcPr>
          <w:p>
            <w:pPr>
              <w:spacing w:after="0" w:line="221" w:lineRule="auto"/>
            </w:pPr>
            <w:r>
              <w:rPr>
                <w:rFonts w:ascii="Times New Roman" w:hAnsi="Times New Roman"/>
                <w:sz w:val="13"/>
              </w:rPr>
              <w:t>rare closing term</w:t>
            </w:r>
          </w:p>
        </w:tc>
        <w:tc>
          <w:tcPr>
            <w:tcW w:type="dxa" w:w="3561"/>
            <w:vAlign w:val="top"/>
          </w:tcPr>
          <w:p>
            <w:pPr>
              <w:spacing w:after="0" w:line="221" w:lineRule="auto"/>
            </w:pPr>
            <w:r>
              <w:rPr>
                <w:rFonts w:ascii="Times New Roman" w:hAnsi="Times New Roman"/>
                <w:sz w:val="13"/>
              </w:rPr>
              <w:t>Strength/security/rest renderings vary.</w:t>
            </w:r>
          </w:p>
        </w:tc>
      </w:tr>
      <w:tr>
        <w:tc>
          <w:tcPr>
            <w:tcW w:type="dxa" w:w="3561"/>
            <w:vAlign w:val="top"/>
          </w:tcPr>
          <w:p>
            <w:pPr>
              <w:spacing w:after="0" w:line="221" w:lineRule="auto"/>
            </w:pPr>
            <w:r>
              <w:rPr>
                <w:rFonts w:ascii="Times New Roman" w:hAnsi="Times New Roman"/>
                <w:sz w:val="13"/>
              </w:rPr>
              <w:t>Deut. 33:27</w:t>
            </w:r>
          </w:p>
        </w:tc>
        <w:tc>
          <w:tcPr>
            <w:tcW w:type="dxa" w:w="3561"/>
            <w:vAlign w:val="top"/>
          </w:tcPr>
          <w:p>
            <w:pPr>
              <w:spacing w:after="0" w:line="221" w:lineRule="auto"/>
            </w:pPr>
            <w:r>
              <w:rPr>
                <w:rFonts w:ascii="Times New Roman" w:hAnsi="Times New Roman"/>
                <w:sz w:val="13"/>
              </w:rPr>
              <w:t>Elohei qedem</w:t>
            </w:r>
          </w:p>
        </w:tc>
        <w:tc>
          <w:tcPr>
            <w:tcW w:type="dxa" w:w="3561"/>
            <w:vAlign w:val="top"/>
          </w:tcPr>
          <w:p>
            <w:pPr>
              <w:spacing w:after="0" w:line="221" w:lineRule="auto"/>
            </w:pPr>
            <w:r>
              <w:rPr>
                <w:rFonts w:ascii="Times New Roman" w:hAnsi="Times New Roman"/>
                <w:sz w:val="13"/>
              </w:rPr>
              <w:t>God of old/ancient God; KJV eternal God.</w:t>
            </w:r>
          </w:p>
        </w:tc>
      </w:tr>
      <w:tr>
        <w:tc>
          <w:tcPr>
            <w:tcW w:type="dxa" w:w="3561"/>
            <w:vAlign w:val="top"/>
          </w:tcPr>
          <w:p>
            <w:pPr>
              <w:spacing w:after="0" w:line="221" w:lineRule="auto"/>
            </w:pPr>
            <w:r>
              <w:rPr>
                <w:rFonts w:ascii="Times New Roman" w:hAnsi="Times New Roman"/>
                <w:sz w:val="13"/>
              </w:rPr>
              <w:t>Deut. 33:28</w:t>
            </w:r>
          </w:p>
        </w:tc>
        <w:tc>
          <w:tcPr>
            <w:tcW w:type="dxa" w:w="3561"/>
            <w:vAlign w:val="top"/>
          </w:tcPr>
          <w:p>
            <w:pPr>
              <w:spacing w:after="0" w:line="221" w:lineRule="auto"/>
            </w:pPr>
            <w:r>
              <w:rPr>
                <w:rFonts w:ascii="Times New Roman" w:hAnsi="Times New Roman"/>
                <w:sz w:val="13"/>
              </w:rPr>
              <w:t>badad</w:t>
            </w:r>
          </w:p>
        </w:tc>
        <w:tc>
          <w:tcPr>
            <w:tcW w:type="dxa" w:w="3561"/>
            <w:vAlign w:val="top"/>
          </w:tcPr>
          <w:p>
            <w:pPr>
              <w:spacing w:after="0" w:line="221" w:lineRule="auto"/>
            </w:pPr>
            <w:r>
              <w:rPr>
                <w:rFonts w:ascii="Times New Roman" w:hAnsi="Times New Roman"/>
                <w:sz w:val="13"/>
              </w:rPr>
              <w:t>Alone/distinct/separate in secure dwelling.</w:t>
            </w:r>
          </w:p>
        </w:tc>
      </w:tr>
      <w:tr>
        <w:tc>
          <w:tcPr>
            <w:tcW w:type="dxa" w:w="3561"/>
            <w:vAlign w:val="top"/>
          </w:tcPr>
          <w:p>
            <w:pPr>
              <w:spacing w:after="0" w:line="221" w:lineRule="auto"/>
            </w:pPr>
            <w:r>
              <w:rPr>
                <w:rFonts w:ascii="Times New Roman" w:hAnsi="Times New Roman"/>
                <w:sz w:val="13"/>
              </w:rPr>
              <w:t>Deut. 33:29</w:t>
            </w:r>
          </w:p>
        </w:tc>
        <w:tc>
          <w:tcPr>
            <w:tcW w:type="dxa" w:w="3561"/>
            <w:vAlign w:val="top"/>
          </w:tcPr>
          <w:p>
            <w:pPr>
              <w:spacing w:after="0" w:line="221" w:lineRule="auto"/>
            </w:pPr>
            <w:r>
              <w:rPr>
                <w:rFonts w:ascii="Times New Roman" w:hAnsi="Times New Roman"/>
                <w:sz w:val="13"/>
              </w:rPr>
              <w:t>saved by Yahweh</w:t>
            </w:r>
          </w:p>
        </w:tc>
        <w:tc>
          <w:tcPr>
            <w:tcW w:type="dxa" w:w="3561"/>
            <w:vAlign w:val="top"/>
          </w:tcPr>
          <w:p>
            <w:pPr>
              <w:spacing w:after="0" w:line="221" w:lineRule="auto"/>
            </w:pPr>
            <w:r>
              <w:rPr>
                <w:rFonts w:ascii="Times New Roman" w:hAnsi="Times New Roman"/>
                <w:sz w:val="13"/>
              </w:rPr>
              <w:t>National climax.</w:t>
            </w:r>
          </w:p>
        </w:tc>
      </w:tr>
    </w:tbl>
    <w:p>
      <w:pPr>
        <w:pStyle w:val="Heading1"/>
      </w:pPr>
      <w:r>
        <w:t>RESIDUAL UNCERTAINTIES</w:t>
      </w:r>
    </w:p>
    <w:p>
      <w:pPr/>
      <w:r>
        <w:rPr>
          <w:i w:val="0"/>
        </w:rPr>
        <w:t>The precise reading of the unusual “fiery law” word, several poetic pronouns, Gad’s lawgiver clause, Naphtali’s geography and both halves of Asher’s verse 25 are genuine difficulties. Mansfield’s millennial route, tribal-name symbolism and detailed commodity identifications are kept as secondary exposition rather than textual certainty.</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DEUTERONOMY 33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7"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52" w:after="10"/>
      <w:outlineLvl w:val="0"/>
    </w:pPr>
    <w:rPr>
      <w:rFonts w:asciiTheme="majorHAnsi" w:eastAsiaTheme="majorEastAsia" w:hAnsiTheme="majorHAnsi" w:cstheme="majorBidi" w:ascii="Arial" w:hAnsi="Arial"/>
      <w:b/>
      <w:bCs/>
      <w:color w:val="2761A1"/>
      <w:sz w:val="23"/>
      <w:szCs w:val="28"/>
    </w:rPr>
  </w:style>
  <w:style w:type="paragraph" w:styleId="Heading2">
    <w:name w:val="heading 2"/>
    <w:basedOn w:val="Normal"/>
    <w:next w:val="Normal"/>
    <w:link w:val="Heading2Char"/>
    <w:uiPriority w:val="9"/>
    <w:unhideWhenUsed/>
    <w:qFormat/>
    <w:rsid w:val="00FC693F"/>
    <w:pPr>
      <w:keepNext/>
      <w:keepLines/>
      <w:spacing w:before="28" w:after="10"/>
      <w:outlineLvl w:val="1"/>
    </w:pPr>
    <w:rPr>
      <w:rFonts w:asciiTheme="majorHAnsi" w:eastAsiaTheme="majorEastAsia" w:hAnsiTheme="majorHAnsi" w:cstheme="majorBidi" w:ascii="Arial" w:hAnsi="Arial"/>
      <w:b/>
      <w:bCs/>
      <w:color w:val="2761A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