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DEUTERONOMY 34</w:t>
      </w:r>
    </w:p>
    <w:p>
      <w:pPr>
        <w:pStyle w:val="Subtitle"/>
      </w:pPr>
      <w:r>
        <w:t>MOSES SEES THE LAND • SERVANT OF YAHWEH • DIES AT YAHWEH’S WORD • BURIED IN MOAB, GRAVE UNKNOWN • 120 YEARS, VIGOUR UNABATED • THIRTY DAYS OF MOURNING • JOSHUA FULL OF THE SPIRIT OF WISDOM • NO PROPHET SINCE LIKE MOSES • FACE TO FACE • THE PENTATEUCH CLOSES LOOKING FOR THE PROPHET LIKE MOSES</w:t>
      </w:r>
    </w:p>
    <w:p>
      <w:pPr/>
      <w:r>
        <w:rPr>
          <w:i/>
        </w:rPr>
        <w:t>H. P. Mansfield Bible notes — checked and arranged in verse-by-verse Expositor style</w:t>
      </w:r>
    </w:p>
    <w:p>
      <w:pPr/>
      <w:r>
        <w:rPr>
          <w:i w:val="0"/>
        </w:rPr>
        <w:t>Source: HPB 04-Deu01-Jud04.PDF p. 54; cross-checked with Mansfield’s Deuteronomy Expositor Chapter 34 and the concluding Pentateuchal narrative.</w:t>
      </w:r>
    </w:p>
    <w:p>
      <w:pPr>
        <w:pStyle w:val="Heading1"/>
      </w:pPr>
      <w:r>
        <w:t>CHAPTER OVERVIEW</w:t>
      </w:r>
    </w:p>
    <w:p>
      <w:pPr/>
      <w:r>
        <w:rPr>
          <w:i w:val="0"/>
        </w:rPr>
        <w:t>Deuteronomy closes with Moses seeing the promised land, dying outside it and being succeeded by Joshua. The final assessment honours Moses’ unparalleled prophetic ministry while confirming that Yahweh’s promise and leadership continue beyond the life of His servant.</w:t>
      </w:r>
    </w:p>
    <w:p>
      <w:pPr/>
      <w:r>
        <w:rPr>
          <w:i w:val="0"/>
        </w:rPr>
        <w:t>Because this chapter narrates Moses’ death, burial and a retrospective “unto this day,” its final narrative voice stands after Moses’ lifetime. Scripture does not identify the inspired hand that supplied the epilogue; Joshua is a traditional possibility, not a stated fact.</w:t>
      </w:r>
    </w:p>
    <w:p>
      <w:pPr>
        <w:pStyle w:val="Heading1"/>
      </w:pPr>
      <w:r>
        <w:t>MOSES VIEWS THE LAND — DEUTERONOMY 34:1–4</w:t>
      </w:r>
    </w:p>
    <w:p>
      <w:pPr>
        <w:pStyle w:val="Heading2"/>
      </w:pPr>
      <w:r>
        <w:t>Deuteronomy 34:1 — Nebo and Pisgah</w:t>
      </w:r>
    </w:p>
    <w:p>
      <w:pPr/>
      <w:r>
        <w:rPr>
          <w:i w:val="0"/>
        </w:rPr>
        <w:t>Moses ascends from the plains of Moab to Mount Nebo, to the top/headland of Pisgah opposite Jericho, and Yahweh shows him the land.</w:t>
      </w:r>
    </w:p>
    <w:p>
      <w:pPr/>
      <w:r>
        <w:rPr>
          <w:i w:val="0"/>
        </w:rPr>
        <w:t>Nebo belongs to the Abarim range; Pisgah is best understood as a height/ridge or viewpoint associated with it. Proposed name-etymologies such as Nebo = “his prophecy” or Pisgah = “contemplation” are not secure enough to carry exposition.</w:t>
      </w:r>
    </w:p>
    <w:p>
      <w:pPr>
        <w:pStyle w:val="Heading2"/>
      </w:pPr>
      <w:r>
        <w:t>Deuteronomy 34:1 — Gilead unto Dan</w:t>
      </w:r>
    </w:p>
    <w:p>
      <w:pPr/>
      <w:r>
        <w:rPr>
          <w:i w:val="0"/>
        </w:rPr>
        <w:t>Moses sees northward toward Gilead and Dan.</w:t>
      </w:r>
    </w:p>
    <w:p>
      <w:pPr/>
      <w:r>
        <w:rPr>
          <w:i w:val="0"/>
        </w:rPr>
        <w:t>The place-name Dan can function as the narrator’s later geographical designation. Mansfield’s insistence that it must denote only Dan’s original southern allotment in order to avoid a later northern name is unnecessary.</w:t>
      </w:r>
    </w:p>
    <w:p>
      <w:pPr>
        <w:pStyle w:val="Heading2"/>
      </w:pPr>
      <w:r>
        <w:t>Deuteronomy 34:2–3 — panorama of the inheritance</w:t>
      </w:r>
    </w:p>
    <w:p>
      <w:pPr/>
      <w:r>
        <w:rPr>
          <w:i w:val="0"/>
        </w:rPr>
        <w:t>Naphtali, Ephraim, Manasseh, Judah to the western/Mediterranean sea, the Negev/south, Jordan plain, Jericho and Zoar form a panoramic description.</w:t>
      </w:r>
    </w:p>
    <w:p>
      <w:pPr/>
      <w:r>
        <w:rPr>
          <w:i w:val="0"/>
        </w:rPr>
        <w:t>The text gives a visionary/geographical sweep rather than a claim that every location was simultaneously visible to ordinary eyesight under modern atmospheric conditions.</w:t>
      </w:r>
    </w:p>
    <w:p>
      <w:pPr>
        <w:pStyle w:val="Heading2"/>
      </w:pPr>
      <w:r>
        <w:t>Deuteronomy 34:4 — promise to the fathers stands</w:t>
      </w:r>
    </w:p>
    <w:p>
      <w:pPr/>
      <w:r>
        <w:rPr>
          <w:i w:val="0"/>
        </w:rPr>
        <w:t>Yahweh identifies the land as that sworn to Abraham, Isaac and Jacob. Moses is allowed to see it but not cross.</w:t>
      </w:r>
    </w:p>
    <w:p>
      <w:pPr/>
      <w:r>
        <w:rPr>
          <w:i w:val="0"/>
        </w:rPr>
        <w:t>The sight confirms the certainty of Yahweh’s promise, but the verse itself does not say that merely viewing land legally transferred present ownership to Moses.</w:t>
      </w:r>
    </w:p>
    <w:p>
      <w:pPr>
        <w:pStyle w:val="Heading1"/>
      </w:pPr>
      <w:r>
        <w:t>THE DEATH AND BURIAL OF MOSES — DEUTERONOMY 34:5–6</w:t>
      </w:r>
    </w:p>
    <w:p>
      <w:pPr>
        <w:pStyle w:val="Heading2"/>
      </w:pPr>
      <w:r>
        <w:t>Deuteronomy 34:5 — servant of Yahweh</w:t>
      </w:r>
    </w:p>
    <w:p>
      <w:pPr/>
      <w:r>
        <w:rPr>
          <w:i w:val="0"/>
        </w:rPr>
        <w:t>Moses dies in Moab as “the servant of Yahweh,” according to Yahweh’s word.</w:t>
      </w:r>
    </w:p>
    <w:p>
      <w:pPr/>
      <w:r>
        <w:rPr>
          <w:i w:val="0"/>
        </w:rPr>
        <w:t>The Hebrew `‘al pi YHWH` literally means at/by the mouth of Yahweh, an idiom for Yahweh’s command/word. Later Jewish tradition developed the idea of death “by the kiss of God,” but that is tradition rather than the plain lexical requirement.</w:t>
      </w:r>
    </w:p>
    <w:p>
      <w:pPr>
        <w:pStyle w:val="Heading2"/>
      </w:pPr>
      <w:r>
        <w:t>Deuteronomy 34:6 — who buried Moses?</w:t>
      </w:r>
    </w:p>
    <w:p>
      <w:pPr/>
      <w:r>
        <w:rPr>
          <w:i w:val="0"/>
        </w:rPr>
        <w:t>The Masoretic text says “he buried him,” naturally taking Yahweh as the subject from verse 5. Some ancient textual witnesses and translations allow or preserve a passive sense, “he was buried,” or a plural reading.</w:t>
      </w:r>
    </w:p>
    <w:p>
      <w:pPr/>
      <w:r>
        <w:rPr>
          <w:i w:val="0"/>
        </w:rPr>
        <w:t>The central point is secure: Moses is buried in Moab opposite Beth-peor and no human knows the grave’s location.</w:t>
      </w:r>
    </w:p>
    <w:p>
      <w:pPr>
        <w:pStyle w:val="Heading2"/>
      </w:pPr>
      <w:r>
        <w:t>Deuteronomy 34:6 — grave unknown</w:t>
      </w:r>
    </w:p>
    <w:p>
      <w:pPr/>
      <w:r>
        <w:rPr>
          <w:i w:val="0"/>
        </w:rPr>
        <w:t>The text says that no man knows Moses’ sepulchre “unto this day.”</w:t>
      </w:r>
    </w:p>
    <w:p>
      <w:pPr/>
      <w:r>
        <w:rPr>
          <w:i w:val="0"/>
        </w:rPr>
        <w:t>Mansfield’s suggestion that Yahweh hid the grave specifically to prevent shrine-veneration is plausible pastoral inference, but the text itself gives no reason for the concealment.</w:t>
      </w:r>
    </w:p>
    <w:p>
      <w:pPr>
        <w:pStyle w:val="Heading2"/>
      </w:pPr>
      <w:r>
        <w:t>Authorship of the closing chapter</w:t>
      </w:r>
    </w:p>
    <w:p>
      <w:pPr/>
      <w:r>
        <w:rPr>
          <w:i w:val="0"/>
        </w:rPr>
        <w:t>The narrator reports Moses’ death, burial, subsequent mourning and that no one knows the grave “unto this day.”</w:t>
      </w:r>
    </w:p>
    <w:p>
      <w:pPr/>
      <w:r>
        <w:rPr>
          <w:i w:val="0"/>
        </w:rPr>
        <w:t>That perspective is post-Mosaic. It is reasonable to regard Deuteronomy 34 as an inspired epilogue added after Moses’ death, but Scripture does not name Joshua or another specific writer. A claim that Joshua certainly wrote it is therefore stronger than the evidence.</w:t>
      </w:r>
    </w:p>
    <w:p>
      <w:pPr>
        <w:pStyle w:val="Heading1"/>
      </w:pPr>
      <w:r>
        <w:t>MOSES’ AGE AND CONDITION — DEUTERONOMY 34:7–8</w:t>
      </w:r>
    </w:p>
    <w:p>
      <w:pPr>
        <w:pStyle w:val="Heading2"/>
      </w:pPr>
      <w:r>
        <w:t>Deuteronomy 34:7 — 120, eye not dim</w:t>
      </w:r>
    </w:p>
    <w:p>
      <w:pPr/>
      <w:r>
        <w:rPr>
          <w:i w:val="0"/>
        </w:rPr>
        <w:t>Moses is 120 years old; his eye is not dim and his `lecho` has not fled/abated.</w:t>
      </w:r>
    </w:p>
    <w:p>
      <w:pPr/>
      <w:r>
        <w:rPr>
          <w:i w:val="0"/>
        </w:rPr>
        <w:t>KJV “natural force” reflects the sense of freshness/vigour. The rare noun has been related to moisture/freshness, but the point is clear: Moses did not die from visible senile collapse.</w:t>
      </w:r>
    </w:p>
    <w:p>
      <w:pPr>
        <w:pStyle w:val="Heading2"/>
      </w:pPr>
      <w:r>
        <w:t>Deuteronomy 34:7 — no birthday statement</w:t>
      </w:r>
    </w:p>
    <w:p>
      <w:pPr/>
      <w:r>
        <w:rPr>
          <w:i w:val="0"/>
        </w:rPr>
        <w:t>The verse states Moses’ age at death but does not give his birthday.</w:t>
      </w:r>
    </w:p>
    <w:p>
      <w:pPr/>
      <w:r>
        <w:rPr>
          <w:i w:val="0"/>
        </w:rPr>
        <w:t>Mansfield’s repeated claim that Moses died on the first day of the eleventh month, his 120th birthday, combines Deuteronomy 1:3 and 31:2 more tightly than Scripture permits. The exact date of Moses’ death is not explicitly stated.</w:t>
      </w:r>
    </w:p>
    <w:p>
      <w:pPr>
        <w:pStyle w:val="Heading2"/>
      </w:pPr>
      <w:r>
        <w:t>Deuteronomy 34:8 — thirty days mourning</w:t>
      </w:r>
    </w:p>
    <w:p>
      <w:pPr/>
      <w:r>
        <w:rPr>
          <w:i w:val="0"/>
        </w:rPr>
        <w:t>Israel mourns Moses in the plains of Moab for thirty days, after which the mourning period ends.</w:t>
      </w:r>
    </w:p>
    <w:p>
      <w:pPr/>
      <w:r>
        <w:rPr>
          <w:i w:val="0"/>
        </w:rPr>
        <w:t>The text honours grief without allowing the nation’s mission to end with Moses.</w:t>
      </w:r>
    </w:p>
    <w:p>
      <w:pPr>
        <w:pStyle w:val="Heading1"/>
      </w:pPr>
      <w:r>
        <w:t>JOSHUA SUCCEEDS — DEUTERONOMY 34:9</w:t>
      </w:r>
    </w:p>
    <w:p>
      <w:pPr>
        <w:pStyle w:val="Heading2"/>
      </w:pPr>
      <w:r>
        <w:t>Deuteronomy 34:9 — spirit of wisdom</w:t>
      </w:r>
    </w:p>
    <w:p>
      <w:pPr/>
      <w:r>
        <w:rPr>
          <w:i w:val="0"/>
        </w:rPr>
        <w:t>Joshua is full of `ruach chokmah`, spirit of wisdom, because Moses had laid his hands upon him; Israel listens and acts as Yahweh commanded through Moses.</w:t>
      </w:r>
    </w:p>
    <w:p>
      <w:pPr/>
      <w:r>
        <w:rPr>
          <w:i w:val="0"/>
        </w:rPr>
        <w:t>The laying on of hands marks Divine commissioning and recognised succession. It should not be described as a mechanical transfer of spiritual substance from Moses’ body.</w:t>
      </w:r>
    </w:p>
    <w:p>
      <w:pPr>
        <w:pStyle w:val="Heading1"/>
      </w:pPr>
      <w:r>
        <w:t>THE DIVINE EPITAPH OF MOSES — DEUTERONOMY 34:10–12</w:t>
      </w:r>
    </w:p>
    <w:p>
      <w:pPr>
        <w:pStyle w:val="Heading2"/>
      </w:pPr>
      <w:r>
        <w:t>Deuteronomy 34:10 — “there arose not a prophet since”</w:t>
      </w:r>
    </w:p>
    <w:p>
      <w:pPr/>
      <w:r>
        <w:rPr>
          <w:i w:val="0"/>
        </w:rPr>
        <w:t>The narrator states that no prophet had arisen “since” in Israel like Moses, whom Yahweh knew face to face.</w:t>
      </w:r>
    </w:p>
    <w:p>
      <w:pPr/>
      <w:r>
        <w:rPr>
          <w:i w:val="0"/>
        </w:rPr>
        <w:t>The word “since” is another retrospective indicator that the epilogue speaks from a point after Moses. The statement evaluates Israel’s prophetic history up to the narrator’s horizon; it does not cancel Deuteronomy 18’s forward promise of a Prophet like Moses.</w:t>
      </w:r>
    </w:p>
    <w:p>
      <w:pPr>
        <w:pStyle w:val="Heading2"/>
      </w:pPr>
      <w:r>
        <w:t>Deuteronomy 34:10 — face to face</w:t>
      </w:r>
    </w:p>
    <w:p>
      <w:pPr/>
      <w:r>
        <w:rPr>
          <w:i w:val="0"/>
        </w:rPr>
        <w:t>“Face to face” describes Moses’ uniquely direct and intimate prophetic relationship with Yahweh.</w:t>
      </w:r>
    </w:p>
    <w:p>
      <w:pPr/>
      <w:r>
        <w:rPr>
          <w:i w:val="0"/>
        </w:rPr>
        <w:t>It cannot mean Moses literally gazed upon Yahweh’s unveiled physical face, because Exodus 33:20 explicitly says a human cannot see Yahweh’s face and live. The idiom denotes exceptional immediacy of revelation.</w:t>
      </w:r>
    </w:p>
    <w:p>
      <w:pPr>
        <w:pStyle w:val="Heading2"/>
      </w:pPr>
      <w:r>
        <w:t>Deuteronomy 34:11 — signs and wonders in Egypt</w:t>
      </w:r>
    </w:p>
    <w:p>
      <w:pPr/>
      <w:r>
        <w:rPr>
          <w:i w:val="0"/>
        </w:rPr>
        <w:t>Moses’ uniqueness is measured by the signs and wonders Yahweh sent him to perform before Pharaoh, servants and land.</w:t>
      </w:r>
    </w:p>
    <w:p>
      <w:pPr>
        <w:pStyle w:val="Heading2"/>
      </w:pPr>
      <w:r>
        <w:t>Deuteronomy 34:12 — mighty hand and great terror</w:t>
      </w:r>
    </w:p>
    <w:p>
      <w:pPr/>
      <w:r>
        <w:rPr>
          <w:i w:val="0"/>
        </w:rPr>
        <w:t>The closing words remember the mighty hand and `mora gadol`, great awe/terror, which Moses wrought/displayed in the sight of all Israel.</w:t>
      </w:r>
    </w:p>
    <w:p>
      <w:pPr/>
      <w:r>
        <w:rPr>
          <w:i w:val="0"/>
        </w:rPr>
        <w:t>The power belongs ultimately to Yahweh; Moses is the commissioned servant through whom the acts were done.</w:t>
      </w:r>
    </w:p>
    <w:p>
      <w:pPr>
        <w:pStyle w:val="Heading1"/>
      </w:pPr>
      <w:r>
        <w:t>LOOKING FOR THE PROPHET LIKE MOSES</w:t>
      </w:r>
    </w:p>
    <w:p>
      <w:pPr>
        <w:pStyle w:val="Heading2"/>
      </w:pPr>
      <w:r>
        <w:t>Deuteronomy 18 and the New Testament</w:t>
      </w:r>
    </w:p>
    <w:p>
      <w:pPr/>
      <w:r>
        <w:rPr>
          <w:i w:val="0"/>
        </w:rPr>
        <w:t>The Pentateuch ends saying no prophet “since” had arisen like Moses, while Deuteronomy 18:15–19 had promised a Prophet like him.</w:t>
      </w:r>
    </w:p>
    <w:p>
      <w:pPr/>
      <w:r>
        <w:rPr>
          <w:i w:val="0"/>
        </w:rPr>
        <w:t>Acts 3:22–23 and Acts 7:37 explicitly apply that promise to Jesus Christ. Thus Moses’ unique ministry is honoured without making him the final horizon of Divine revelation.</w:t>
      </w:r>
    </w:p>
    <w:p>
      <w:pPr>
        <w:pStyle w:val="Heading1"/>
      </w:pPr>
      <w:r>
        <w:t>PRINCIPAL THEMES</w:t>
      </w:r>
    </w:p>
    <w:p>
      <w:pPr>
        <w:ind w:left="259" w:hanging="202"/>
      </w:pPr>
      <w:r>
        <w:rPr>
          <w:b/>
        </w:rPr>
        <w:t xml:space="preserve">• </w:t>
      </w:r>
      <w:r>
        <w:t>Deuteronomy 34 is a post-Mosaic narrative epilogue in voice; its exact inspired author is not named.</w:t>
      </w:r>
    </w:p>
    <w:p>
      <w:pPr>
        <w:ind w:left="259" w:hanging="202"/>
      </w:pPr>
      <w:r>
        <w:rPr>
          <w:b/>
        </w:rPr>
        <w:t xml:space="preserve">• </w:t>
      </w:r>
      <w:r>
        <w:t>Nebo/Pisgah etymologies and detailed visibility claims should not be overstated.</w:t>
      </w:r>
    </w:p>
    <w:p>
      <w:pPr>
        <w:ind w:left="259" w:hanging="202"/>
      </w:pPr>
      <w:r>
        <w:rPr>
          <w:b/>
        </w:rPr>
        <w:t xml:space="preserve">• </w:t>
      </w:r>
      <w:r>
        <w:t>Dan can be a later geographical designation in the narrator’s description.</w:t>
      </w:r>
    </w:p>
    <w:p>
      <w:pPr>
        <w:ind w:left="259" w:hanging="202"/>
      </w:pPr>
      <w:r>
        <w:rPr>
          <w:b/>
        </w:rPr>
        <w:t xml:space="preserve">• </w:t>
      </w:r>
      <w:r>
        <w:t>`‘Al pi YHWH` means according to/by Yahweh’s word; “kiss of God” is later tradition.</w:t>
      </w:r>
    </w:p>
    <w:p>
      <w:pPr>
        <w:ind w:left="259" w:hanging="202"/>
      </w:pPr>
      <w:r>
        <w:rPr>
          <w:b/>
        </w:rPr>
        <w:t xml:space="preserve">• </w:t>
      </w:r>
      <w:r>
        <w:t>The MT naturally reads Yahweh as the one who buried Moses, though ancient textual/translation variation exists.</w:t>
      </w:r>
    </w:p>
    <w:p>
      <w:pPr>
        <w:ind w:left="259" w:hanging="202"/>
      </w:pPr>
      <w:r>
        <w:rPr>
          <w:b/>
        </w:rPr>
        <w:t xml:space="preserve">• </w:t>
      </w:r>
      <w:r>
        <w:t>The grave is unknown; preventing veneration is plausible but unstated.</w:t>
      </w:r>
    </w:p>
    <w:p>
      <w:pPr>
        <w:ind w:left="259" w:hanging="202"/>
      </w:pPr>
      <w:r>
        <w:rPr>
          <w:b/>
        </w:rPr>
        <w:t xml:space="preserve">• </w:t>
      </w:r>
      <w:r>
        <w:t>`Lecho` conveys Moses’ unabated freshness/vigour; exact lexical nuance is rare.</w:t>
      </w:r>
    </w:p>
    <w:p>
      <w:pPr>
        <w:ind w:left="259" w:hanging="202"/>
      </w:pPr>
      <w:r>
        <w:rPr>
          <w:b/>
        </w:rPr>
        <w:t xml:space="preserve">• </w:t>
      </w:r>
      <w:r>
        <w:t>Scripture does not state that Moses died on his birthday or explicitly date his death to Deuteronomy 1:3’s day.</w:t>
      </w:r>
    </w:p>
    <w:p>
      <w:pPr>
        <w:ind w:left="259" w:hanging="202"/>
      </w:pPr>
      <w:r>
        <w:rPr>
          <w:b/>
        </w:rPr>
        <w:t xml:space="preserve">• </w:t>
      </w:r>
      <w:r>
        <w:t>Joshua’s wisdom and commissioning were Divinely prepared.</w:t>
      </w:r>
    </w:p>
    <w:p>
      <w:pPr>
        <w:ind w:left="259" w:hanging="202"/>
      </w:pPr>
      <w:r>
        <w:rPr>
          <w:b/>
        </w:rPr>
        <w:t xml:space="preserve">• </w:t>
      </w:r>
      <w:r>
        <w:t>“Face to face” means exceptional direct revelation, not literal sight of Yahweh’s unveiled face.</w:t>
      </w:r>
    </w:p>
    <w:p>
      <w:pPr>
        <w:ind w:left="259" w:hanging="202"/>
      </w:pPr>
      <w:r>
        <w:rPr>
          <w:b/>
        </w:rPr>
        <w:t xml:space="preserve">• </w:t>
      </w:r>
      <w:r>
        <w:t>The final “since” statement is retrospective but leaves the Prophet-like-Moses promise standing.</w:t>
      </w:r>
    </w:p>
    <w:p>
      <w:pPr>
        <w:ind w:left="259" w:hanging="202"/>
      </w:pPr>
      <w:r>
        <w:rPr>
          <w:b/>
        </w:rPr>
        <w:t xml:space="preserve">• </w:t>
      </w:r>
      <w:r>
        <w:t>Acts explicitly identifies the promised Prophet with Christ.</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1" w:lineRule="auto"/>
            </w:pPr>
            <w:r>
              <w:rPr>
                <w:rFonts w:ascii="Times New Roman" w:hAnsi="Times New Roman"/>
                <w:sz w:val="13"/>
              </w:rPr>
              <w:t>Deut. 34:1</w:t>
            </w:r>
          </w:p>
        </w:tc>
        <w:tc>
          <w:tcPr>
            <w:tcW w:type="dxa" w:w="3561"/>
            <w:vAlign w:val="top"/>
          </w:tcPr>
          <w:p>
            <w:pPr>
              <w:spacing w:after="0" w:line="221" w:lineRule="auto"/>
            </w:pPr>
            <w:r>
              <w:rPr>
                <w:rFonts w:ascii="Times New Roman" w:hAnsi="Times New Roman"/>
                <w:sz w:val="13"/>
              </w:rPr>
              <w:t>Nebo / Pisgah</w:t>
            </w:r>
          </w:p>
        </w:tc>
        <w:tc>
          <w:tcPr>
            <w:tcW w:type="dxa" w:w="3561"/>
            <w:vAlign w:val="top"/>
          </w:tcPr>
          <w:p>
            <w:pPr>
              <w:spacing w:after="0" w:line="221" w:lineRule="auto"/>
            </w:pPr>
            <w:r>
              <w:rPr>
                <w:rFonts w:ascii="Times New Roman" w:hAnsi="Times New Roman"/>
                <w:sz w:val="13"/>
              </w:rPr>
              <w:t>Mountain/ridge viewpoint; speculative name etymologies avoided.</w:t>
            </w:r>
          </w:p>
        </w:tc>
      </w:tr>
      <w:tr>
        <w:tc>
          <w:tcPr>
            <w:tcW w:type="dxa" w:w="3561"/>
            <w:vAlign w:val="top"/>
          </w:tcPr>
          <w:p>
            <w:pPr>
              <w:spacing w:after="0" w:line="221" w:lineRule="auto"/>
            </w:pPr>
            <w:r>
              <w:rPr>
                <w:rFonts w:ascii="Times New Roman" w:hAnsi="Times New Roman"/>
                <w:sz w:val="13"/>
              </w:rPr>
              <w:t>Deut. 34:1</w:t>
            </w:r>
          </w:p>
        </w:tc>
        <w:tc>
          <w:tcPr>
            <w:tcW w:type="dxa" w:w="3561"/>
            <w:vAlign w:val="top"/>
          </w:tcPr>
          <w:p>
            <w:pPr>
              <w:spacing w:after="0" w:line="221" w:lineRule="auto"/>
            </w:pPr>
            <w:r>
              <w:rPr>
                <w:rFonts w:ascii="Times New Roman" w:hAnsi="Times New Roman"/>
                <w:sz w:val="13"/>
              </w:rPr>
              <w:t>Dan</w:t>
            </w:r>
          </w:p>
        </w:tc>
        <w:tc>
          <w:tcPr>
            <w:tcW w:type="dxa" w:w="3561"/>
            <w:vAlign w:val="top"/>
          </w:tcPr>
          <w:p>
            <w:pPr>
              <w:spacing w:after="0" w:line="221" w:lineRule="auto"/>
            </w:pPr>
            <w:r>
              <w:rPr>
                <w:rFonts w:ascii="Times New Roman" w:hAnsi="Times New Roman"/>
                <w:sz w:val="13"/>
              </w:rPr>
              <w:t>Narrator’s geographical name may reflect later-known northern Dan.</w:t>
            </w:r>
          </w:p>
        </w:tc>
      </w:tr>
      <w:tr>
        <w:tc>
          <w:tcPr>
            <w:tcW w:type="dxa" w:w="3561"/>
            <w:vAlign w:val="top"/>
          </w:tcPr>
          <w:p>
            <w:pPr>
              <w:spacing w:after="0" w:line="221" w:lineRule="auto"/>
            </w:pPr>
            <w:r>
              <w:rPr>
                <w:rFonts w:ascii="Times New Roman" w:hAnsi="Times New Roman"/>
                <w:sz w:val="13"/>
              </w:rPr>
              <w:t>Deut. 34:2</w:t>
            </w:r>
          </w:p>
        </w:tc>
        <w:tc>
          <w:tcPr>
            <w:tcW w:type="dxa" w:w="3561"/>
            <w:vAlign w:val="top"/>
          </w:tcPr>
          <w:p>
            <w:pPr>
              <w:spacing w:after="0" w:line="221" w:lineRule="auto"/>
            </w:pPr>
            <w:r>
              <w:rPr>
                <w:rFonts w:ascii="Times New Roman" w:hAnsi="Times New Roman"/>
                <w:sz w:val="13"/>
              </w:rPr>
              <w:t>utmost sea</w:t>
            </w:r>
          </w:p>
        </w:tc>
        <w:tc>
          <w:tcPr>
            <w:tcW w:type="dxa" w:w="3561"/>
            <w:vAlign w:val="top"/>
          </w:tcPr>
          <w:p>
            <w:pPr>
              <w:spacing w:after="0" w:line="221" w:lineRule="auto"/>
            </w:pPr>
            <w:r>
              <w:rPr>
                <w:rFonts w:ascii="Times New Roman" w:hAnsi="Times New Roman"/>
                <w:sz w:val="13"/>
              </w:rPr>
              <w:t>Mediterranean/western sea.</w:t>
            </w:r>
          </w:p>
        </w:tc>
      </w:tr>
      <w:tr>
        <w:tc>
          <w:tcPr>
            <w:tcW w:type="dxa" w:w="3561"/>
            <w:vAlign w:val="top"/>
          </w:tcPr>
          <w:p>
            <w:pPr>
              <w:spacing w:after="0" w:line="221" w:lineRule="auto"/>
            </w:pPr>
            <w:r>
              <w:rPr>
                <w:rFonts w:ascii="Times New Roman" w:hAnsi="Times New Roman"/>
                <w:sz w:val="13"/>
              </w:rPr>
              <w:t>Deut. 34:3</w:t>
            </w:r>
          </w:p>
        </w:tc>
        <w:tc>
          <w:tcPr>
            <w:tcW w:type="dxa" w:w="3561"/>
            <w:vAlign w:val="top"/>
          </w:tcPr>
          <w:p>
            <w:pPr>
              <w:spacing w:after="0" w:line="221" w:lineRule="auto"/>
            </w:pPr>
            <w:r>
              <w:rPr>
                <w:rFonts w:ascii="Times New Roman" w:hAnsi="Times New Roman"/>
                <w:sz w:val="13"/>
              </w:rPr>
              <w:t>kikkar</w:t>
            </w:r>
          </w:p>
        </w:tc>
        <w:tc>
          <w:tcPr>
            <w:tcW w:type="dxa" w:w="3561"/>
            <w:vAlign w:val="top"/>
          </w:tcPr>
          <w:p>
            <w:pPr>
              <w:spacing w:after="0" w:line="221" w:lineRule="auto"/>
            </w:pPr>
            <w:r>
              <w:rPr>
                <w:rFonts w:ascii="Times New Roman" w:hAnsi="Times New Roman"/>
                <w:sz w:val="13"/>
              </w:rPr>
              <w:t>Jordan plain/circle region.</w:t>
            </w:r>
          </w:p>
        </w:tc>
      </w:tr>
      <w:tr>
        <w:tc>
          <w:tcPr>
            <w:tcW w:type="dxa" w:w="3561"/>
            <w:vAlign w:val="top"/>
          </w:tcPr>
          <w:p>
            <w:pPr>
              <w:spacing w:after="0" w:line="221" w:lineRule="auto"/>
            </w:pPr>
            <w:r>
              <w:rPr>
                <w:rFonts w:ascii="Times New Roman" w:hAnsi="Times New Roman"/>
                <w:sz w:val="13"/>
              </w:rPr>
              <w:t>Deut. 34:4</w:t>
            </w:r>
          </w:p>
        </w:tc>
        <w:tc>
          <w:tcPr>
            <w:tcW w:type="dxa" w:w="3561"/>
            <w:vAlign w:val="top"/>
          </w:tcPr>
          <w:p>
            <w:pPr>
              <w:spacing w:after="0" w:line="221" w:lineRule="auto"/>
            </w:pPr>
            <w:r>
              <w:rPr>
                <w:rFonts w:ascii="Times New Roman" w:hAnsi="Times New Roman"/>
                <w:sz w:val="13"/>
              </w:rPr>
              <w:t>land sworn to fathers</w:t>
            </w:r>
          </w:p>
        </w:tc>
        <w:tc>
          <w:tcPr>
            <w:tcW w:type="dxa" w:w="3561"/>
            <w:vAlign w:val="top"/>
          </w:tcPr>
          <w:p>
            <w:pPr>
              <w:spacing w:after="0" w:line="221" w:lineRule="auto"/>
            </w:pPr>
            <w:r>
              <w:rPr>
                <w:rFonts w:ascii="Times New Roman" w:hAnsi="Times New Roman"/>
                <w:sz w:val="13"/>
              </w:rPr>
              <w:t>Moses sees but does not cross.</w:t>
            </w:r>
          </w:p>
        </w:tc>
      </w:tr>
      <w:tr>
        <w:tc>
          <w:tcPr>
            <w:tcW w:type="dxa" w:w="3561"/>
            <w:vAlign w:val="top"/>
          </w:tcPr>
          <w:p>
            <w:pPr>
              <w:spacing w:after="0" w:line="221" w:lineRule="auto"/>
            </w:pPr>
            <w:r>
              <w:rPr>
                <w:rFonts w:ascii="Times New Roman" w:hAnsi="Times New Roman"/>
                <w:sz w:val="13"/>
              </w:rPr>
              <w:t>Deut. 34:5</w:t>
            </w:r>
          </w:p>
        </w:tc>
        <w:tc>
          <w:tcPr>
            <w:tcW w:type="dxa" w:w="3561"/>
            <w:vAlign w:val="top"/>
          </w:tcPr>
          <w:p>
            <w:pPr>
              <w:spacing w:after="0" w:line="221" w:lineRule="auto"/>
            </w:pPr>
            <w:r>
              <w:rPr>
                <w:rFonts w:ascii="Times New Roman" w:hAnsi="Times New Roman"/>
                <w:sz w:val="13"/>
              </w:rPr>
              <w:t>servant of Yahweh</w:t>
            </w:r>
          </w:p>
        </w:tc>
        <w:tc>
          <w:tcPr>
            <w:tcW w:type="dxa" w:w="3561"/>
            <w:vAlign w:val="top"/>
          </w:tcPr>
          <w:p>
            <w:pPr>
              <w:spacing w:after="0" w:line="221" w:lineRule="auto"/>
            </w:pPr>
            <w:r>
              <w:rPr>
                <w:rFonts w:ascii="Times New Roman" w:hAnsi="Times New Roman"/>
                <w:sz w:val="13"/>
              </w:rPr>
              <w:t>High covenant-service title.</w:t>
            </w:r>
          </w:p>
        </w:tc>
      </w:tr>
      <w:tr>
        <w:tc>
          <w:tcPr>
            <w:tcW w:type="dxa" w:w="3561"/>
            <w:vAlign w:val="top"/>
          </w:tcPr>
          <w:p>
            <w:pPr>
              <w:spacing w:after="0" w:line="221" w:lineRule="auto"/>
            </w:pPr>
            <w:r>
              <w:rPr>
                <w:rFonts w:ascii="Times New Roman" w:hAnsi="Times New Roman"/>
                <w:sz w:val="13"/>
              </w:rPr>
              <w:t>Deut. 34:5</w:t>
            </w:r>
          </w:p>
        </w:tc>
        <w:tc>
          <w:tcPr>
            <w:tcW w:type="dxa" w:w="3561"/>
            <w:vAlign w:val="top"/>
          </w:tcPr>
          <w:p>
            <w:pPr>
              <w:spacing w:after="0" w:line="221" w:lineRule="auto"/>
            </w:pPr>
            <w:r>
              <w:rPr>
                <w:rFonts w:ascii="Times New Roman" w:hAnsi="Times New Roman"/>
                <w:sz w:val="13"/>
              </w:rPr>
              <w:t>‘al pi YHWH</w:t>
            </w:r>
          </w:p>
        </w:tc>
        <w:tc>
          <w:tcPr>
            <w:tcW w:type="dxa" w:w="3561"/>
            <w:vAlign w:val="top"/>
          </w:tcPr>
          <w:p>
            <w:pPr>
              <w:spacing w:after="0" w:line="221" w:lineRule="auto"/>
            </w:pPr>
            <w:r>
              <w:rPr>
                <w:rFonts w:ascii="Times New Roman" w:hAnsi="Times New Roman"/>
                <w:sz w:val="13"/>
              </w:rPr>
              <w:t>According to/by mouth/word of Yahweh.</w:t>
            </w:r>
          </w:p>
        </w:tc>
      </w:tr>
      <w:tr>
        <w:tc>
          <w:tcPr>
            <w:tcW w:type="dxa" w:w="3561"/>
            <w:vAlign w:val="top"/>
          </w:tcPr>
          <w:p>
            <w:pPr>
              <w:spacing w:after="0" w:line="221" w:lineRule="auto"/>
            </w:pPr>
            <w:r>
              <w:rPr>
                <w:rFonts w:ascii="Times New Roman" w:hAnsi="Times New Roman"/>
                <w:sz w:val="13"/>
              </w:rPr>
              <w:t>“Kiss of God”</w:t>
            </w:r>
          </w:p>
        </w:tc>
        <w:tc>
          <w:tcPr>
            <w:tcW w:type="dxa" w:w="3561"/>
            <w:vAlign w:val="top"/>
          </w:tcPr>
          <w:p>
            <w:pPr>
              <w:spacing w:after="0" w:line="221" w:lineRule="auto"/>
            </w:pPr>
            <w:r>
              <w:rPr>
                <w:rFonts w:ascii="Times New Roman" w:hAnsi="Times New Roman"/>
                <w:sz w:val="13"/>
              </w:rPr>
              <w:t>later Jewish tradition</w:t>
            </w:r>
          </w:p>
        </w:tc>
        <w:tc>
          <w:tcPr>
            <w:tcW w:type="dxa" w:w="3561"/>
            <w:vAlign w:val="top"/>
          </w:tcPr>
          <w:p>
            <w:pPr>
              <w:spacing w:after="0" w:line="221" w:lineRule="auto"/>
            </w:pPr>
            <w:r>
              <w:rPr>
                <w:rFonts w:ascii="Times New Roman" w:hAnsi="Times New Roman"/>
                <w:sz w:val="13"/>
              </w:rPr>
              <w:t>Not required lexical meaning.</w:t>
            </w:r>
          </w:p>
        </w:tc>
      </w:tr>
      <w:tr>
        <w:tc>
          <w:tcPr>
            <w:tcW w:type="dxa" w:w="3561"/>
            <w:vAlign w:val="top"/>
          </w:tcPr>
          <w:p>
            <w:pPr>
              <w:spacing w:after="0" w:line="221" w:lineRule="auto"/>
            </w:pPr>
            <w:r>
              <w:rPr>
                <w:rFonts w:ascii="Times New Roman" w:hAnsi="Times New Roman"/>
                <w:sz w:val="13"/>
              </w:rPr>
              <w:t>Deut. 34:6</w:t>
            </w:r>
          </w:p>
        </w:tc>
        <w:tc>
          <w:tcPr>
            <w:tcW w:type="dxa" w:w="3561"/>
            <w:vAlign w:val="top"/>
          </w:tcPr>
          <w:p>
            <w:pPr>
              <w:spacing w:after="0" w:line="221" w:lineRule="auto"/>
            </w:pPr>
            <w:r>
              <w:rPr>
                <w:rFonts w:ascii="Times New Roman" w:hAnsi="Times New Roman"/>
                <w:sz w:val="13"/>
              </w:rPr>
              <w:t>he buried him</w:t>
            </w:r>
          </w:p>
        </w:tc>
        <w:tc>
          <w:tcPr>
            <w:tcW w:type="dxa" w:w="3561"/>
            <w:vAlign w:val="top"/>
          </w:tcPr>
          <w:p>
            <w:pPr>
              <w:spacing w:after="0" w:line="221" w:lineRule="auto"/>
            </w:pPr>
            <w:r>
              <w:rPr>
                <w:rFonts w:ascii="Times New Roman" w:hAnsi="Times New Roman"/>
                <w:sz w:val="13"/>
              </w:rPr>
              <w:t>MT naturally Yahweh; passive/other ancient readings exist.</w:t>
            </w:r>
          </w:p>
        </w:tc>
      </w:tr>
      <w:tr>
        <w:tc>
          <w:tcPr>
            <w:tcW w:type="dxa" w:w="3561"/>
            <w:vAlign w:val="top"/>
          </w:tcPr>
          <w:p>
            <w:pPr>
              <w:spacing w:after="0" w:line="221" w:lineRule="auto"/>
            </w:pPr>
            <w:r>
              <w:rPr>
                <w:rFonts w:ascii="Times New Roman" w:hAnsi="Times New Roman"/>
                <w:sz w:val="13"/>
              </w:rPr>
              <w:t>Deut. 34:6</w:t>
            </w:r>
          </w:p>
        </w:tc>
        <w:tc>
          <w:tcPr>
            <w:tcW w:type="dxa" w:w="3561"/>
            <w:vAlign w:val="top"/>
          </w:tcPr>
          <w:p>
            <w:pPr>
              <w:spacing w:after="0" w:line="221" w:lineRule="auto"/>
            </w:pPr>
            <w:r>
              <w:rPr>
                <w:rFonts w:ascii="Times New Roman" w:hAnsi="Times New Roman"/>
                <w:sz w:val="13"/>
              </w:rPr>
              <w:t>grave unknown</w:t>
            </w:r>
          </w:p>
        </w:tc>
        <w:tc>
          <w:tcPr>
            <w:tcW w:type="dxa" w:w="3561"/>
            <w:vAlign w:val="top"/>
          </w:tcPr>
          <w:p>
            <w:pPr>
              <w:spacing w:after="0" w:line="221" w:lineRule="auto"/>
            </w:pPr>
            <w:r>
              <w:rPr>
                <w:rFonts w:ascii="Times New Roman" w:hAnsi="Times New Roman"/>
                <w:sz w:val="13"/>
              </w:rPr>
              <w:t>Reason for concealment unstated.</w:t>
            </w:r>
          </w:p>
        </w:tc>
      </w:tr>
      <w:tr>
        <w:tc>
          <w:tcPr>
            <w:tcW w:type="dxa" w:w="3561"/>
            <w:vAlign w:val="top"/>
          </w:tcPr>
          <w:p>
            <w:pPr>
              <w:spacing w:after="0" w:line="221" w:lineRule="auto"/>
            </w:pPr>
            <w:r>
              <w:rPr>
                <w:rFonts w:ascii="Times New Roman" w:hAnsi="Times New Roman"/>
                <w:sz w:val="13"/>
              </w:rPr>
              <w:t>Deut. 34:6</w:t>
            </w:r>
          </w:p>
        </w:tc>
        <w:tc>
          <w:tcPr>
            <w:tcW w:type="dxa" w:w="3561"/>
            <w:vAlign w:val="top"/>
          </w:tcPr>
          <w:p>
            <w:pPr>
              <w:spacing w:after="0" w:line="221" w:lineRule="auto"/>
            </w:pPr>
            <w:r>
              <w:rPr>
                <w:rFonts w:ascii="Times New Roman" w:hAnsi="Times New Roman"/>
                <w:sz w:val="13"/>
              </w:rPr>
              <w:t>unto this day</w:t>
            </w:r>
          </w:p>
        </w:tc>
        <w:tc>
          <w:tcPr>
            <w:tcW w:type="dxa" w:w="3561"/>
            <w:vAlign w:val="top"/>
          </w:tcPr>
          <w:p>
            <w:pPr>
              <w:spacing w:after="0" w:line="221" w:lineRule="auto"/>
            </w:pPr>
            <w:r>
              <w:rPr>
                <w:rFonts w:ascii="Times New Roman" w:hAnsi="Times New Roman"/>
                <w:sz w:val="13"/>
              </w:rPr>
              <w:t>Post-Mosaic narrator horizon.</w:t>
            </w:r>
          </w:p>
        </w:tc>
      </w:tr>
      <w:tr>
        <w:tc>
          <w:tcPr>
            <w:tcW w:type="dxa" w:w="3561"/>
            <w:vAlign w:val="top"/>
          </w:tcPr>
          <w:p>
            <w:pPr>
              <w:spacing w:after="0" w:line="221" w:lineRule="auto"/>
            </w:pPr>
            <w:r>
              <w:rPr>
                <w:rFonts w:ascii="Times New Roman" w:hAnsi="Times New Roman"/>
                <w:sz w:val="13"/>
              </w:rPr>
              <w:t>Deut. 34:7</w:t>
            </w:r>
          </w:p>
        </w:tc>
        <w:tc>
          <w:tcPr>
            <w:tcW w:type="dxa" w:w="3561"/>
            <w:vAlign w:val="top"/>
          </w:tcPr>
          <w:p>
            <w:pPr>
              <w:spacing w:after="0" w:line="221" w:lineRule="auto"/>
            </w:pPr>
            <w:r>
              <w:rPr>
                <w:rFonts w:ascii="Times New Roman" w:hAnsi="Times New Roman"/>
                <w:sz w:val="13"/>
              </w:rPr>
              <w:t>120 years</w:t>
            </w:r>
          </w:p>
        </w:tc>
        <w:tc>
          <w:tcPr>
            <w:tcW w:type="dxa" w:w="3561"/>
            <w:vAlign w:val="top"/>
          </w:tcPr>
          <w:p>
            <w:pPr>
              <w:spacing w:after="0" w:line="221" w:lineRule="auto"/>
            </w:pPr>
            <w:r>
              <w:rPr>
                <w:rFonts w:ascii="Times New Roman" w:hAnsi="Times New Roman"/>
                <w:sz w:val="13"/>
              </w:rPr>
              <w:t>Age at death; birthday/date not stated.</w:t>
            </w:r>
          </w:p>
        </w:tc>
      </w:tr>
      <w:tr>
        <w:tc>
          <w:tcPr>
            <w:tcW w:type="dxa" w:w="3561"/>
            <w:vAlign w:val="top"/>
          </w:tcPr>
          <w:p>
            <w:pPr>
              <w:spacing w:after="0" w:line="221" w:lineRule="auto"/>
            </w:pPr>
            <w:r>
              <w:rPr>
                <w:rFonts w:ascii="Times New Roman" w:hAnsi="Times New Roman"/>
                <w:sz w:val="13"/>
              </w:rPr>
              <w:t>Deut. 34:7</w:t>
            </w:r>
          </w:p>
        </w:tc>
        <w:tc>
          <w:tcPr>
            <w:tcW w:type="dxa" w:w="3561"/>
            <w:vAlign w:val="top"/>
          </w:tcPr>
          <w:p>
            <w:pPr>
              <w:spacing w:after="0" w:line="221" w:lineRule="auto"/>
            </w:pPr>
            <w:r>
              <w:rPr>
                <w:rFonts w:ascii="Times New Roman" w:hAnsi="Times New Roman"/>
                <w:sz w:val="13"/>
              </w:rPr>
              <w:t>lecho</w:t>
            </w:r>
          </w:p>
        </w:tc>
        <w:tc>
          <w:tcPr>
            <w:tcW w:type="dxa" w:w="3561"/>
            <w:vAlign w:val="top"/>
          </w:tcPr>
          <w:p>
            <w:pPr>
              <w:spacing w:after="0" w:line="221" w:lineRule="auto"/>
            </w:pPr>
            <w:r>
              <w:rPr>
                <w:rFonts w:ascii="Times New Roman" w:hAnsi="Times New Roman"/>
                <w:sz w:val="13"/>
              </w:rPr>
              <w:t>Freshness/vigour not abated; rare term.</w:t>
            </w:r>
          </w:p>
        </w:tc>
      </w:tr>
      <w:tr>
        <w:tc>
          <w:tcPr>
            <w:tcW w:type="dxa" w:w="3561"/>
            <w:vAlign w:val="top"/>
          </w:tcPr>
          <w:p>
            <w:pPr>
              <w:spacing w:after="0" w:line="221" w:lineRule="auto"/>
            </w:pPr>
            <w:r>
              <w:rPr>
                <w:rFonts w:ascii="Times New Roman" w:hAnsi="Times New Roman"/>
                <w:sz w:val="13"/>
              </w:rPr>
              <w:t>Deut. 34:8</w:t>
            </w:r>
          </w:p>
        </w:tc>
        <w:tc>
          <w:tcPr>
            <w:tcW w:type="dxa" w:w="3561"/>
            <w:vAlign w:val="top"/>
          </w:tcPr>
          <w:p>
            <w:pPr>
              <w:spacing w:after="0" w:line="221" w:lineRule="auto"/>
            </w:pPr>
            <w:r>
              <w:rPr>
                <w:rFonts w:ascii="Times New Roman" w:hAnsi="Times New Roman"/>
                <w:sz w:val="13"/>
              </w:rPr>
              <w:t>30 days mourning</w:t>
            </w:r>
          </w:p>
        </w:tc>
        <w:tc>
          <w:tcPr>
            <w:tcW w:type="dxa" w:w="3561"/>
            <w:vAlign w:val="top"/>
          </w:tcPr>
          <w:p>
            <w:pPr>
              <w:spacing w:after="0" w:line="221" w:lineRule="auto"/>
            </w:pPr>
            <w:r>
              <w:rPr>
                <w:rFonts w:ascii="Times New Roman" w:hAnsi="Times New Roman"/>
                <w:sz w:val="13"/>
              </w:rPr>
              <w:t>Plains of Moab.</w:t>
            </w:r>
          </w:p>
        </w:tc>
      </w:tr>
      <w:tr>
        <w:tc>
          <w:tcPr>
            <w:tcW w:type="dxa" w:w="3561"/>
            <w:vAlign w:val="top"/>
          </w:tcPr>
          <w:p>
            <w:pPr>
              <w:spacing w:after="0" w:line="221" w:lineRule="auto"/>
            </w:pPr>
            <w:r>
              <w:rPr>
                <w:rFonts w:ascii="Times New Roman" w:hAnsi="Times New Roman"/>
                <w:sz w:val="13"/>
              </w:rPr>
              <w:t>Deut. 34:9</w:t>
            </w:r>
          </w:p>
        </w:tc>
        <w:tc>
          <w:tcPr>
            <w:tcW w:type="dxa" w:w="3561"/>
            <w:vAlign w:val="top"/>
          </w:tcPr>
          <w:p>
            <w:pPr>
              <w:spacing w:after="0" w:line="221" w:lineRule="auto"/>
            </w:pPr>
            <w:r>
              <w:rPr>
                <w:rFonts w:ascii="Times New Roman" w:hAnsi="Times New Roman"/>
                <w:sz w:val="13"/>
              </w:rPr>
              <w:t>ruach chokmah</w:t>
            </w:r>
          </w:p>
        </w:tc>
        <w:tc>
          <w:tcPr>
            <w:tcW w:type="dxa" w:w="3561"/>
            <w:vAlign w:val="top"/>
          </w:tcPr>
          <w:p>
            <w:pPr>
              <w:spacing w:after="0" w:line="221" w:lineRule="auto"/>
            </w:pPr>
            <w:r>
              <w:rPr>
                <w:rFonts w:ascii="Times New Roman" w:hAnsi="Times New Roman"/>
                <w:sz w:val="13"/>
              </w:rPr>
              <w:t>Spirit of wisdom; succession under Yahweh.</w:t>
            </w:r>
          </w:p>
        </w:tc>
      </w:tr>
      <w:tr>
        <w:tc>
          <w:tcPr>
            <w:tcW w:type="dxa" w:w="3561"/>
            <w:vAlign w:val="top"/>
          </w:tcPr>
          <w:p>
            <w:pPr>
              <w:spacing w:after="0" w:line="221" w:lineRule="auto"/>
            </w:pPr>
            <w:r>
              <w:rPr>
                <w:rFonts w:ascii="Times New Roman" w:hAnsi="Times New Roman"/>
                <w:sz w:val="13"/>
              </w:rPr>
              <w:t>Deut. 34:10</w:t>
            </w:r>
          </w:p>
        </w:tc>
        <w:tc>
          <w:tcPr>
            <w:tcW w:type="dxa" w:w="3561"/>
            <w:vAlign w:val="top"/>
          </w:tcPr>
          <w:p>
            <w:pPr>
              <w:spacing w:after="0" w:line="221" w:lineRule="auto"/>
            </w:pPr>
            <w:r>
              <w:rPr>
                <w:rFonts w:ascii="Times New Roman" w:hAnsi="Times New Roman"/>
                <w:sz w:val="13"/>
              </w:rPr>
              <w:t>no prophet since</w:t>
            </w:r>
          </w:p>
        </w:tc>
        <w:tc>
          <w:tcPr>
            <w:tcW w:type="dxa" w:w="3561"/>
            <w:vAlign w:val="top"/>
          </w:tcPr>
          <w:p>
            <w:pPr>
              <w:spacing w:after="0" w:line="221" w:lineRule="auto"/>
            </w:pPr>
            <w:r>
              <w:rPr>
                <w:rFonts w:ascii="Times New Roman" w:hAnsi="Times New Roman"/>
                <w:sz w:val="13"/>
              </w:rPr>
              <w:t>Retrospective evaluation.</w:t>
            </w:r>
          </w:p>
        </w:tc>
      </w:tr>
      <w:tr>
        <w:tc>
          <w:tcPr>
            <w:tcW w:type="dxa" w:w="3561"/>
            <w:vAlign w:val="top"/>
          </w:tcPr>
          <w:p>
            <w:pPr>
              <w:spacing w:after="0" w:line="221" w:lineRule="auto"/>
            </w:pPr>
            <w:r>
              <w:rPr>
                <w:rFonts w:ascii="Times New Roman" w:hAnsi="Times New Roman"/>
                <w:sz w:val="13"/>
              </w:rPr>
              <w:t>Deut. 34:10</w:t>
            </w:r>
          </w:p>
        </w:tc>
        <w:tc>
          <w:tcPr>
            <w:tcW w:type="dxa" w:w="3561"/>
            <w:vAlign w:val="top"/>
          </w:tcPr>
          <w:p>
            <w:pPr>
              <w:spacing w:after="0" w:line="221" w:lineRule="auto"/>
            </w:pPr>
            <w:r>
              <w:rPr>
                <w:rFonts w:ascii="Times New Roman" w:hAnsi="Times New Roman"/>
                <w:sz w:val="13"/>
              </w:rPr>
              <w:t>face to face</w:t>
            </w:r>
          </w:p>
        </w:tc>
        <w:tc>
          <w:tcPr>
            <w:tcW w:type="dxa" w:w="3561"/>
            <w:vAlign w:val="top"/>
          </w:tcPr>
          <w:p>
            <w:pPr>
              <w:spacing w:after="0" w:line="221" w:lineRule="auto"/>
            </w:pPr>
            <w:r>
              <w:rPr>
                <w:rFonts w:ascii="Times New Roman" w:hAnsi="Times New Roman"/>
                <w:sz w:val="13"/>
              </w:rPr>
              <w:t>Direct/intimate revelation; compare Ex. 33:20.</w:t>
            </w:r>
          </w:p>
        </w:tc>
      </w:tr>
      <w:tr>
        <w:tc>
          <w:tcPr>
            <w:tcW w:type="dxa" w:w="3561"/>
            <w:vAlign w:val="top"/>
          </w:tcPr>
          <w:p>
            <w:pPr>
              <w:spacing w:after="0" w:line="221" w:lineRule="auto"/>
            </w:pPr>
            <w:r>
              <w:rPr>
                <w:rFonts w:ascii="Times New Roman" w:hAnsi="Times New Roman"/>
                <w:sz w:val="13"/>
              </w:rPr>
              <w:t>Deut. 34:11–12</w:t>
            </w:r>
          </w:p>
        </w:tc>
        <w:tc>
          <w:tcPr>
            <w:tcW w:type="dxa" w:w="3561"/>
            <w:vAlign w:val="top"/>
          </w:tcPr>
          <w:p>
            <w:pPr>
              <w:spacing w:after="0" w:line="221" w:lineRule="auto"/>
            </w:pPr>
            <w:r>
              <w:rPr>
                <w:rFonts w:ascii="Times New Roman" w:hAnsi="Times New Roman"/>
                <w:sz w:val="13"/>
              </w:rPr>
              <w:t>signs/mighty hand/mora gadol</w:t>
            </w:r>
          </w:p>
        </w:tc>
        <w:tc>
          <w:tcPr>
            <w:tcW w:type="dxa" w:w="3561"/>
            <w:vAlign w:val="top"/>
          </w:tcPr>
          <w:p>
            <w:pPr>
              <w:spacing w:after="0" w:line="221" w:lineRule="auto"/>
            </w:pPr>
            <w:r>
              <w:rPr>
                <w:rFonts w:ascii="Times New Roman" w:hAnsi="Times New Roman"/>
                <w:sz w:val="13"/>
              </w:rPr>
              <w:t>Moses as commissioned agent of Yahweh.</w:t>
            </w:r>
          </w:p>
        </w:tc>
      </w:tr>
      <w:tr>
        <w:tc>
          <w:tcPr>
            <w:tcW w:type="dxa" w:w="3561"/>
            <w:vAlign w:val="top"/>
          </w:tcPr>
          <w:p>
            <w:pPr>
              <w:spacing w:after="0" w:line="221" w:lineRule="auto"/>
            </w:pPr>
            <w:r>
              <w:rPr>
                <w:rFonts w:ascii="Times New Roman" w:hAnsi="Times New Roman"/>
                <w:sz w:val="13"/>
              </w:rPr>
              <w:t>Deut. 18:15–19; Acts 3:22–23; 7:37</w:t>
            </w:r>
          </w:p>
        </w:tc>
        <w:tc>
          <w:tcPr>
            <w:tcW w:type="dxa" w:w="3561"/>
            <w:vAlign w:val="top"/>
          </w:tcPr>
          <w:p>
            <w:pPr>
              <w:spacing w:after="0" w:line="221" w:lineRule="auto"/>
            </w:pPr>
            <w:r>
              <w:rPr>
                <w:rFonts w:ascii="Times New Roman" w:hAnsi="Times New Roman"/>
                <w:sz w:val="13"/>
              </w:rPr>
              <w:t>Prophet like Moses</w:t>
            </w:r>
          </w:p>
        </w:tc>
        <w:tc>
          <w:tcPr>
            <w:tcW w:type="dxa" w:w="3561"/>
            <w:vAlign w:val="top"/>
          </w:tcPr>
          <w:p>
            <w:pPr>
              <w:spacing w:after="0" w:line="221" w:lineRule="auto"/>
            </w:pPr>
            <w:r>
              <w:rPr>
                <w:rFonts w:ascii="Times New Roman" w:hAnsi="Times New Roman"/>
                <w:sz w:val="13"/>
              </w:rPr>
              <w:t>Apostolic application to Christ.</w:t>
            </w:r>
          </w:p>
        </w:tc>
      </w:tr>
    </w:tbl>
    <w:p>
      <w:pPr>
        <w:pStyle w:val="Heading1"/>
      </w:pPr>
      <w:r>
        <w:t>RESIDUAL UNCERTAINTIES</w:t>
      </w:r>
    </w:p>
    <w:p>
      <w:pPr/>
      <w:r>
        <w:rPr>
          <w:i w:val="0"/>
        </w:rPr>
        <w:t>The identity of the inspired writer/editor of Deuteronomy 34, the exact nuance of Moses’ rare `lecho` term and the textual voice of verse 6’s burial clause remain uncertain. The document therefore avoids Mansfield’s unsupported certainty about Joshua’s authorship, Moses’ birthday/death date and the motive for hiding the grave.</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DEUTERONOMY 34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7"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2" w:after="10"/>
      <w:outlineLvl w:val="0"/>
    </w:pPr>
    <w:rPr>
      <w:rFonts w:asciiTheme="majorHAnsi" w:eastAsiaTheme="majorEastAsia" w:hAnsiTheme="majorHAnsi" w:cstheme="majorBidi" w:ascii="Arial" w:hAnsi="Arial"/>
      <w:b/>
      <w:bCs/>
      <w:color w:val="2761A1"/>
      <w:sz w:val="23"/>
      <w:szCs w:val="28"/>
    </w:rPr>
  </w:style>
  <w:style w:type="paragraph" w:styleId="Heading2">
    <w:name w:val="heading 2"/>
    <w:basedOn w:val="Normal"/>
    <w:next w:val="Normal"/>
    <w:link w:val="Heading2Char"/>
    <w:uiPriority w:val="9"/>
    <w:unhideWhenUsed/>
    <w:qFormat/>
    <w:rsid w:val="00FC693F"/>
    <w:pPr>
      <w:keepNext/>
      <w:keepLines/>
      <w:spacing w:before="28" w:after="10"/>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