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JOSHUA 1</w:t>
      </w:r>
    </w:p>
    <w:p>
      <w:pPr>
        <w:pStyle w:val="Subtitle"/>
      </w:pPr>
      <w:r>
        <w:t>MOSES IS DEAD • ARISE AND CROSS • THE LAND ALREADY GIVEN • BE STRONG AND VERY COURAGEOUS • THIS BOOK OF THE LAW • MEDITATE DAY AND NIGHT • EASTERN TRIBES MUST HELP THEIR BRETHREN</w:t>
      </w:r>
    </w:p>
    <w:p>
      <w:pPr/>
      <w:r>
        <w:rPr>
          <w:i/>
        </w:rPr>
        <w:t>H. P. Mansfield Bible notes — checked and arranged in verse-by-verse Expositor style</w:t>
      </w:r>
    </w:p>
    <w:p>
      <w:pPr/>
      <w:r>
        <w:rPr>
          <w:i w:val="0"/>
        </w:rPr>
        <w:t>Source: Joshua 01 - HPB Notes.md (HPB 04-Deu01-Jud04.PDF pp. 55–56); cross-checked with Mansfield’s published Joshua Expositor Chapter 1.</w:t>
      </w:r>
    </w:p>
    <w:p>
      <w:pPr>
        <w:pStyle w:val="Heading1"/>
      </w:pPr>
      <w:r>
        <w:t>CHAPTER OVERVIEW</w:t>
      </w:r>
    </w:p>
    <w:p>
      <w:pPr/>
      <w:r>
        <w:rPr>
          <w:i w:val="0"/>
        </w:rPr>
        <w:t>Joshua 1 establishes continuity after Moses’ death. Yahweh’s servant has died, but Yahweh’s promise remains operative and Joshua must act immediately.</w:t>
      </w:r>
    </w:p>
    <w:p>
      <w:pPr/>
      <w:r>
        <w:rPr>
          <w:i w:val="0"/>
        </w:rPr>
        <w:t>The chapter defines biblical courage: trust Yahweh’s presence, remain strictly within the written Torah, and turn promise into obedient action.</w:t>
      </w:r>
    </w:p>
    <w:p>
      <w:pPr>
        <w:pStyle w:val="Heading1"/>
      </w:pPr>
      <w:r>
        <w:t>THE COMMISSION — JOSHUA 1:1–5</w:t>
      </w:r>
    </w:p>
    <w:p>
      <w:pPr>
        <w:pStyle w:val="Heading2"/>
      </w:pPr>
      <w:r>
        <w:t>Joshua 1:1 — Joshua, Moses’ minister</w:t>
      </w:r>
    </w:p>
    <w:p>
      <w:pPr/>
      <w:r>
        <w:rPr>
          <w:i w:val="0"/>
        </w:rPr>
        <w:t>After Moses’ death Yahweh speaks to Joshua son of Nun, Moses’ `mesharet`, minister/attendant.</w:t>
      </w:r>
    </w:p>
    <w:p>
      <w:pPr/>
      <w:r>
        <w:rPr>
          <w:i w:val="0"/>
        </w:rPr>
        <w:t>The title distinguishes Joshua’s earlier service under Moses from Moses’ formal title “servant of Yahweh.” Mansfield’s Christological comparison is typological rather than the lexical meaning of `mesharet`.</w:t>
      </w:r>
    </w:p>
    <w:p>
      <w:pPr>
        <w:pStyle w:val="Heading2"/>
      </w:pPr>
      <w:r>
        <w:t>Joshua 1:2 — “Moses my servant is dead”</w:t>
      </w:r>
    </w:p>
    <w:p>
      <w:pPr/>
      <w:r>
        <w:rPr>
          <w:i w:val="0"/>
        </w:rPr>
        <w:t>The fact is stated without sentimentality: the work must continue. Joshua must arise, cross Jordan and lead the people.</w:t>
      </w:r>
    </w:p>
    <w:p>
      <w:pPr/>
      <w:r>
        <w:rPr>
          <w:i w:val="0"/>
        </w:rPr>
        <w:t>Mansfield’s application of Moses’ death to believers becoming dead to the Mosaic Law is based on Romans 7 and is legitimate typology, but Joshua 1:2 itself first marks a historical leadership transition.</w:t>
      </w:r>
    </w:p>
    <w:p>
      <w:pPr>
        <w:pStyle w:val="Heading2"/>
      </w:pPr>
      <w:r>
        <w:t>Joshua 1:3 — every place the sole treads</w:t>
      </w:r>
    </w:p>
    <w:p>
      <w:pPr/>
      <w:r>
        <w:rPr>
          <w:i w:val="0"/>
        </w:rPr>
        <w:t>Yahweh says He has given Israel every place upon which its foot treads, “as I said unto Moses.”</w:t>
      </w:r>
    </w:p>
    <w:p>
      <w:pPr/>
      <w:r>
        <w:rPr>
          <w:i w:val="0"/>
        </w:rPr>
        <w:t>The perfect/gift language does not make possession automatic: Israel must still cross, fight and obey.</w:t>
      </w:r>
    </w:p>
    <w:p>
      <w:pPr>
        <w:pStyle w:val="Heading2"/>
      </w:pPr>
      <w:r>
        <w:t>Joshua 1:4 — broad territorial horizon</w:t>
      </w:r>
    </w:p>
    <w:p>
      <w:pPr/>
      <w:r>
        <w:rPr>
          <w:i w:val="0"/>
        </w:rPr>
        <w:t>The stated horizon runs from the wilderness and Lebanon to the great river Euphrates and westward to the Great Sea/Mediterranean.</w:t>
      </w:r>
    </w:p>
    <w:p>
      <w:pPr/>
      <w:r>
        <w:rPr>
          <w:i w:val="0"/>
        </w:rPr>
        <w:t>The phrase “all the land of the Hittites” is part of the territorial description. The exact relationship between this broad promise and the territory actually occupied under Joshua and later kings must be distinguished rather than flattened.</w:t>
      </w:r>
    </w:p>
    <w:p>
      <w:pPr>
        <w:pStyle w:val="Heading2"/>
      </w:pPr>
      <w:r>
        <w:t>Joshua 1:5 — Yahweh will not fail or forsake</w:t>
      </w:r>
    </w:p>
    <w:p>
      <w:pPr/>
      <w:r>
        <w:rPr>
          <w:i w:val="0"/>
        </w:rPr>
        <w:t>No opponent will be able to stand successfully against Joshua while Yahweh fulfils His commission. The decisive assurance is “as I was with Moses, so I will be with thee.”</w:t>
      </w:r>
    </w:p>
    <w:p>
      <w:pPr/>
      <w:r>
        <w:rPr>
          <w:i w:val="0"/>
        </w:rPr>
        <w:t>Hebrews 13:5 applies the “never leave/forsake” assurance to believers. Mansfield’s explanatory appeal to angelic mediation is compatible with Exodus 23 but should not replace Yahweh as the explicit subject of Joshua’s promise.</w:t>
      </w:r>
    </w:p>
    <w:p>
      <w:pPr>
        <w:pStyle w:val="Heading1"/>
      </w:pPr>
      <w:r>
        <w:t>COURAGE THROUGH THE WORD — JOSHUA 1:6–9</w:t>
      </w:r>
    </w:p>
    <w:p>
      <w:pPr>
        <w:pStyle w:val="Heading2"/>
      </w:pPr>
      <w:r>
        <w:t>Joshua 1:6 — strength for the inheritance task</w:t>
      </w:r>
    </w:p>
    <w:p>
      <w:pPr/>
      <w:r>
        <w:rPr>
          <w:i w:val="0"/>
        </w:rPr>
        <w:t>Joshua must be strong and courageous because he will cause Israel to inherit the land sworn to the fathers.</w:t>
      </w:r>
    </w:p>
    <w:p>
      <w:pPr>
        <w:pStyle w:val="Heading2"/>
      </w:pPr>
      <w:r>
        <w:t>Joshua 1:7 — “very courageous” to obey</w:t>
      </w:r>
    </w:p>
    <w:p>
      <w:pPr/>
      <w:r>
        <w:rPr>
          <w:i w:val="0"/>
        </w:rPr>
        <w:t>The intensified command is specifically tied to observing all the Torah Moses commanded and refusing to turn right or left.</w:t>
      </w:r>
    </w:p>
    <w:p>
      <w:pPr/>
      <w:r>
        <w:rPr>
          <w:i w:val="0"/>
        </w:rPr>
        <w:t>Courage in this chapter is therefore moral and scriptural before it is military.</w:t>
      </w:r>
    </w:p>
    <w:p>
      <w:pPr>
        <w:pStyle w:val="Heading2"/>
      </w:pPr>
      <w:r>
        <w:t>Joshua 1:7 — `sakal`</w:t>
      </w:r>
    </w:p>
    <w:p>
      <w:pPr/>
      <w:r>
        <w:rPr>
          <w:i w:val="0"/>
        </w:rPr>
        <w:t>KJV “prosper” translates a verb that can mean act wisely, have insight or succeed.</w:t>
      </w:r>
    </w:p>
    <w:p>
      <w:pPr/>
      <w:r>
        <w:rPr>
          <w:i w:val="0"/>
        </w:rPr>
        <w:t>The promise is not a general prosperity formula; it concerns wise success in the Divinely commissioned task through obedience.</w:t>
      </w:r>
    </w:p>
    <w:p>
      <w:pPr>
        <w:pStyle w:val="Heading2"/>
      </w:pPr>
      <w:r>
        <w:t>Joshua 1:8 — the Book of the Law</w:t>
      </w:r>
    </w:p>
    <w:p>
      <w:pPr/>
      <w:r>
        <w:rPr>
          <w:i w:val="0"/>
        </w:rPr>
        <w:t>The book of the Torah is not to depart from Joshua’s mouth; he must meditate in it day and night so as to do all that is written.</w:t>
      </w:r>
    </w:p>
    <w:p>
      <w:pPr/>
      <w:r>
        <w:rPr>
          <w:i w:val="0"/>
        </w:rPr>
        <w:t>`Hagah` can mean meditate, mutter or recite. The image is sustained verbal and mental engagement with the text leading to action.</w:t>
      </w:r>
    </w:p>
    <w:p>
      <w:pPr>
        <w:pStyle w:val="Heading2"/>
      </w:pPr>
      <w:r>
        <w:t>Joshua 1:8 — success follows obedience</w:t>
      </w:r>
    </w:p>
    <w:p>
      <w:pPr/>
      <w:r>
        <w:rPr>
          <w:i w:val="0"/>
        </w:rPr>
        <w:t>Only in this context is Joshua told he will make his way prosperous and have good success.</w:t>
      </w:r>
    </w:p>
    <w:p>
      <w:pPr/>
      <w:r>
        <w:rPr>
          <w:i w:val="0"/>
        </w:rPr>
        <w:t>Mansfield rightly stresses Word-centred leadership, but the verse should not be detached into a guarantee of material success for every obedient believer.</w:t>
      </w:r>
    </w:p>
    <w:p>
      <w:pPr>
        <w:pStyle w:val="Heading2"/>
      </w:pPr>
      <w:r>
        <w:t>Joshua 1:9 — courage is commanded</w:t>
      </w:r>
    </w:p>
    <w:p>
      <w:pPr/>
      <w:r>
        <w:rPr>
          <w:i w:val="0"/>
        </w:rPr>
        <w:t>Joshua is not merely encouraged but commanded not to fear or be dismayed because Yahweh his God is with him wherever the commission takes him.</w:t>
      </w:r>
    </w:p>
    <w:p>
      <w:pPr>
        <w:pStyle w:val="Heading1"/>
      </w:pPr>
      <w:r>
        <w:t>PREPARATION TO CROSS — JOSHUA 1:10–11</w:t>
      </w:r>
    </w:p>
    <w:p>
      <w:pPr>
        <w:pStyle w:val="Heading2"/>
      </w:pPr>
      <w:r>
        <w:t>Joshua 1:10 — officers act</w:t>
      </w:r>
    </w:p>
    <w:p>
      <w:pPr/>
      <w:r>
        <w:rPr>
          <w:i w:val="0"/>
        </w:rPr>
        <w:t>Joshua commands the `shoterim`, officers/officials, to pass through the camp.</w:t>
      </w:r>
    </w:p>
    <w:p>
      <w:pPr/>
      <w:r>
        <w:rPr>
          <w:i w:val="0"/>
        </w:rPr>
        <w:t>The term is associated with administrative officers and can be connected with scribal functions, but Mansfield’s assertion that their immediate task was specifically to record the military personnel is not stated here.</w:t>
      </w:r>
    </w:p>
    <w:p>
      <w:pPr>
        <w:pStyle w:val="Heading2"/>
      </w:pPr>
      <w:r>
        <w:t>Joshua 1:11 — provisions and “within three days”</w:t>
      </w:r>
    </w:p>
    <w:p>
      <w:pPr/>
      <w:r>
        <w:rPr>
          <w:i w:val="0"/>
        </w:rPr>
        <w:t>Israel prepares provisions because “within three days” it will cross Jordan.</w:t>
      </w:r>
    </w:p>
    <w:p>
      <w:pPr/>
      <w:r>
        <w:rPr>
          <w:i w:val="0"/>
        </w:rPr>
        <w:t>The sequence with Joshua 2–3 has prompted different chronological harmonisations. Mansfield proposes that the spies had already been sent before Joshua 1:10–11; this is possible, especially given the narrative arrangement, but the book does not explicitly state that chapter 2 occurred before verse 11.</w:t>
      </w:r>
    </w:p>
    <w:p>
      <w:pPr>
        <w:pStyle w:val="Heading1"/>
      </w:pPr>
      <w:r>
        <w:t>THE EASTERN TRIBES — JOSHUA 1:12–18</w:t>
      </w:r>
    </w:p>
    <w:p>
      <w:pPr>
        <w:pStyle w:val="Heading2"/>
      </w:pPr>
      <w:r>
        <w:t>Joshua 1:12–15 — inheritance creates responsibility</w:t>
      </w:r>
    </w:p>
    <w:p>
      <w:pPr/>
      <w:r>
        <w:rPr>
          <w:i w:val="0"/>
        </w:rPr>
        <w:t>Reuben, Gad and half-Manasseh may leave families and livestock east of Jordan, but their fighting men must cross and help their brethren until Yahweh gives the western tribes rest.</w:t>
      </w:r>
    </w:p>
    <w:p>
      <w:pPr/>
      <w:r>
        <w:rPr>
          <w:i w:val="0"/>
        </w:rPr>
        <w:t>This faithfully carries forward Numbers 32 and Deuteronomy 3.</w:t>
      </w:r>
    </w:p>
    <w:p>
      <w:pPr>
        <w:pStyle w:val="Heading2"/>
      </w:pPr>
      <w:r>
        <w:t>Joshua 1:14 — `chamushim`</w:t>
      </w:r>
    </w:p>
    <w:p>
      <w:pPr/>
      <w:r>
        <w:rPr>
          <w:i w:val="0"/>
        </w:rPr>
        <w:t>KJV “armed” translates `chamushim`, meaning equipped/arrayed for battle.</w:t>
      </w:r>
    </w:p>
    <w:p>
      <w:pPr/>
      <w:r>
        <w:rPr>
          <w:i w:val="0"/>
        </w:rPr>
        <w:t>Mansfield derives the word from “five” and argues that the army marched five abreast or in a fivefold formation. That older etymological proposal is uncertain and should not replace the ordinary sense “armed/equipped.”</w:t>
      </w:r>
    </w:p>
    <w:p>
      <w:pPr>
        <w:pStyle w:val="Heading2"/>
      </w:pPr>
      <w:r>
        <w:t>Joshua 1:16–18 — the people affirm Joshua</w:t>
      </w:r>
    </w:p>
    <w:p>
      <w:pPr/>
      <w:r>
        <w:rPr>
          <w:i w:val="0"/>
        </w:rPr>
        <w:t>The eastern tribes pledge obedience to Joshua as they had obeyed Moses and ask only that Yahweh be with him. They accept severe judgment upon rebellion against his legitimate command.</w:t>
      </w:r>
    </w:p>
    <w:p>
      <w:pPr/>
      <w:r>
        <w:rPr>
          <w:i w:val="0"/>
        </w:rPr>
        <w:t>Their final words echo Yahweh’s own charge: “only be strong and of a good courage.”</w:t>
      </w:r>
    </w:p>
    <w:p>
      <w:pPr>
        <w:pStyle w:val="Heading1"/>
      </w:pPr>
      <w:r>
        <w:t>PRINCIPAL THEMES</w:t>
      </w:r>
    </w:p>
    <w:p>
      <w:pPr>
        <w:ind w:left="259" w:hanging="202"/>
      </w:pPr>
      <w:r>
        <w:rPr>
          <w:b/>
        </w:rPr>
        <w:t xml:space="preserve">• </w:t>
      </w:r>
      <w:r>
        <w:t>Yahweh’s work continues beyond the life of one human servant.</w:t>
      </w:r>
    </w:p>
    <w:p>
      <w:pPr>
        <w:ind w:left="259" w:hanging="202"/>
      </w:pPr>
      <w:r>
        <w:rPr>
          <w:b/>
        </w:rPr>
        <w:t xml:space="preserve">• </w:t>
      </w:r>
      <w:r>
        <w:t>Gift and responsibility coexist: the land is given, yet Israel must possess it.</w:t>
      </w:r>
    </w:p>
    <w:p>
      <w:pPr>
        <w:ind w:left="259" w:hanging="202"/>
      </w:pPr>
      <w:r>
        <w:rPr>
          <w:b/>
        </w:rPr>
        <w:t xml:space="preserve">• </w:t>
      </w:r>
      <w:r>
        <w:t>Courage is defined by obedience to the written Torah.</w:t>
      </w:r>
    </w:p>
    <w:p>
      <w:pPr>
        <w:ind w:left="259" w:hanging="202"/>
      </w:pPr>
      <w:r>
        <w:rPr>
          <w:b/>
        </w:rPr>
        <w:t xml:space="preserve">• </w:t>
      </w:r>
      <w:r>
        <w:t>`Sakal` means wise/successful action in context, not generic prosperity.</w:t>
      </w:r>
    </w:p>
    <w:p>
      <w:pPr>
        <w:ind w:left="259" w:hanging="202"/>
      </w:pPr>
      <w:r>
        <w:rPr>
          <w:b/>
        </w:rPr>
        <w:t xml:space="preserve">• </w:t>
      </w:r>
      <w:r>
        <w:t>`Hagah` means meditate/recite/mutter with the aim of doing.</w:t>
      </w:r>
    </w:p>
    <w:p>
      <w:pPr>
        <w:ind w:left="259" w:hanging="202"/>
      </w:pPr>
      <w:r>
        <w:rPr>
          <w:b/>
        </w:rPr>
        <w:t xml:space="preserve">• </w:t>
      </w:r>
      <w:r>
        <w:t>The `shoterim` are officers; specific military census work is not stated here.</w:t>
      </w:r>
    </w:p>
    <w:p>
      <w:pPr>
        <w:ind w:left="259" w:hanging="202"/>
      </w:pPr>
      <w:r>
        <w:rPr>
          <w:b/>
        </w:rPr>
        <w:t xml:space="preserve">• </w:t>
      </w:r>
      <w:r>
        <w:t>The spy/three-day chronology can be harmonised in more than one way.</w:t>
      </w:r>
    </w:p>
    <w:p>
      <w:pPr>
        <w:ind w:left="259" w:hanging="202"/>
      </w:pPr>
      <w:r>
        <w:rPr>
          <w:b/>
        </w:rPr>
        <w:t xml:space="preserve">• </w:t>
      </w:r>
      <w:r>
        <w:t>`Chamushim` means equipped/arrayed for battle; “five abreast” is not secure.</w:t>
      </w:r>
    </w:p>
    <w:p>
      <w:pPr>
        <w:ind w:left="259" w:hanging="202"/>
      </w:pPr>
      <w:r>
        <w:rPr>
          <w:b/>
        </w:rPr>
        <w:t xml:space="preserve">• </w:t>
      </w:r>
      <w:r>
        <w:t>The eastern tribes must help their brethren obtain their inheritance.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1" w:lineRule="auto"/>
            </w:pPr>
            <w:r>
              <w:rPr>
                <w:rFonts w:ascii="Times New Roman" w:hAnsi="Times New Roman"/>
                <w:sz w:val="12"/>
              </w:rPr>
              <w:t>Josh. 1:1</w:t>
            </w:r>
          </w:p>
        </w:tc>
        <w:tc>
          <w:tcPr>
            <w:tcW w:type="dxa" w:w="3561"/>
            <w:vAlign w:val="top"/>
          </w:tcPr>
          <w:p>
            <w:pPr>
              <w:spacing w:after="0" w:line="221" w:lineRule="auto"/>
            </w:pPr>
            <w:r>
              <w:rPr>
                <w:rFonts w:ascii="Times New Roman" w:hAnsi="Times New Roman"/>
                <w:sz w:val="12"/>
              </w:rPr>
              <w:t>mesharet</w:t>
            </w:r>
          </w:p>
        </w:tc>
        <w:tc>
          <w:tcPr>
            <w:tcW w:type="dxa" w:w="3561"/>
            <w:vAlign w:val="top"/>
          </w:tcPr>
          <w:p>
            <w:pPr>
              <w:spacing w:after="0" w:line="221" w:lineRule="auto"/>
            </w:pPr>
            <w:r>
              <w:rPr>
                <w:rFonts w:ascii="Times New Roman" w:hAnsi="Times New Roman"/>
                <w:sz w:val="12"/>
              </w:rPr>
              <w:t>Minister/attendant.</w:t>
            </w:r>
          </w:p>
        </w:tc>
      </w:tr>
      <w:tr>
        <w:tc>
          <w:tcPr>
            <w:tcW w:type="dxa" w:w="3561"/>
            <w:vAlign w:val="top"/>
          </w:tcPr>
          <w:p>
            <w:pPr>
              <w:spacing w:after="0" w:line="221" w:lineRule="auto"/>
            </w:pPr>
            <w:r>
              <w:rPr>
                <w:rFonts w:ascii="Times New Roman" w:hAnsi="Times New Roman"/>
                <w:sz w:val="12"/>
              </w:rPr>
              <w:t>Josh. 1:2</w:t>
            </w:r>
          </w:p>
        </w:tc>
        <w:tc>
          <w:tcPr>
            <w:tcW w:type="dxa" w:w="3561"/>
            <w:vAlign w:val="top"/>
          </w:tcPr>
          <w:p>
            <w:pPr>
              <w:spacing w:after="0" w:line="221" w:lineRule="auto"/>
            </w:pPr>
            <w:r>
              <w:rPr>
                <w:rFonts w:ascii="Times New Roman" w:hAnsi="Times New Roman"/>
                <w:sz w:val="12"/>
              </w:rPr>
              <w:t>Moses dead / Joshua arise</w:t>
            </w:r>
          </w:p>
        </w:tc>
        <w:tc>
          <w:tcPr>
            <w:tcW w:type="dxa" w:w="3561"/>
            <w:vAlign w:val="top"/>
          </w:tcPr>
          <w:p>
            <w:pPr>
              <w:spacing w:after="0" w:line="221" w:lineRule="auto"/>
            </w:pPr>
            <w:r>
              <w:rPr>
                <w:rFonts w:ascii="Times New Roman" w:hAnsi="Times New Roman"/>
                <w:sz w:val="12"/>
              </w:rPr>
              <w:t>Historical succession; Law-death application is typology.</w:t>
            </w:r>
          </w:p>
        </w:tc>
      </w:tr>
      <w:tr>
        <w:tc>
          <w:tcPr>
            <w:tcW w:type="dxa" w:w="3561"/>
            <w:vAlign w:val="top"/>
          </w:tcPr>
          <w:p>
            <w:pPr>
              <w:spacing w:after="0" w:line="221" w:lineRule="auto"/>
            </w:pPr>
            <w:r>
              <w:rPr>
                <w:rFonts w:ascii="Times New Roman" w:hAnsi="Times New Roman"/>
                <w:sz w:val="12"/>
              </w:rPr>
              <w:t>Josh. 1:3</w:t>
            </w:r>
          </w:p>
        </w:tc>
        <w:tc>
          <w:tcPr>
            <w:tcW w:type="dxa" w:w="3561"/>
            <w:vAlign w:val="top"/>
          </w:tcPr>
          <w:p>
            <w:pPr>
              <w:spacing w:after="0" w:line="221" w:lineRule="auto"/>
            </w:pPr>
            <w:r>
              <w:rPr>
                <w:rFonts w:ascii="Times New Roman" w:hAnsi="Times New Roman"/>
                <w:sz w:val="12"/>
              </w:rPr>
              <w:t>land given</w:t>
            </w:r>
          </w:p>
        </w:tc>
        <w:tc>
          <w:tcPr>
            <w:tcW w:type="dxa" w:w="3561"/>
            <w:vAlign w:val="top"/>
          </w:tcPr>
          <w:p>
            <w:pPr>
              <w:spacing w:after="0" w:line="221" w:lineRule="auto"/>
            </w:pPr>
            <w:r>
              <w:rPr>
                <w:rFonts w:ascii="Times New Roman" w:hAnsi="Times New Roman"/>
                <w:sz w:val="12"/>
              </w:rPr>
              <w:t>Promise requires obedient possession.</w:t>
            </w:r>
          </w:p>
        </w:tc>
      </w:tr>
      <w:tr>
        <w:tc>
          <w:tcPr>
            <w:tcW w:type="dxa" w:w="3561"/>
            <w:vAlign w:val="top"/>
          </w:tcPr>
          <w:p>
            <w:pPr>
              <w:spacing w:after="0" w:line="221" w:lineRule="auto"/>
            </w:pPr>
            <w:r>
              <w:rPr>
                <w:rFonts w:ascii="Times New Roman" w:hAnsi="Times New Roman"/>
                <w:sz w:val="12"/>
              </w:rPr>
              <w:t>Josh. 1:4</w:t>
            </w:r>
          </w:p>
        </w:tc>
        <w:tc>
          <w:tcPr>
            <w:tcW w:type="dxa" w:w="3561"/>
            <w:vAlign w:val="top"/>
          </w:tcPr>
          <w:p>
            <w:pPr>
              <w:spacing w:after="0" w:line="221" w:lineRule="auto"/>
            </w:pPr>
            <w:r>
              <w:rPr>
                <w:rFonts w:ascii="Times New Roman" w:hAnsi="Times New Roman"/>
                <w:sz w:val="12"/>
              </w:rPr>
              <w:t>Euphrates → Great Sea</w:t>
            </w:r>
          </w:p>
        </w:tc>
        <w:tc>
          <w:tcPr>
            <w:tcW w:type="dxa" w:w="3561"/>
            <w:vAlign w:val="top"/>
          </w:tcPr>
          <w:p>
            <w:pPr>
              <w:spacing w:after="0" w:line="221" w:lineRule="auto"/>
            </w:pPr>
            <w:r>
              <w:rPr>
                <w:rFonts w:ascii="Times New Roman" w:hAnsi="Times New Roman"/>
                <w:sz w:val="12"/>
              </w:rPr>
              <w:t>Broad territorial horizon.</w:t>
            </w:r>
          </w:p>
        </w:tc>
      </w:tr>
      <w:tr>
        <w:tc>
          <w:tcPr>
            <w:tcW w:type="dxa" w:w="3561"/>
            <w:vAlign w:val="top"/>
          </w:tcPr>
          <w:p>
            <w:pPr>
              <w:spacing w:after="0" w:line="221" w:lineRule="auto"/>
            </w:pPr>
            <w:r>
              <w:rPr>
                <w:rFonts w:ascii="Times New Roman" w:hAnsi="Times New Roman"/>
                <w:sz w:val="12"/>
              </w:rPr>
              <w:t>Josh. 1:5</w:t>
            </w:r>
          </w:p>
        </w:tc>
        <w:tc>
          <w:tcPr>
            <w:tcW w:type="dxa" w:w="3561"/>
            <w:vAlign w:val="top"/>
          </w:tcPr>
          <w:p>
            <w:pPr>
              <w:spacing w:after="0" w:line="221" w:lineRule="auto"/>
            </w:pPr>
            <w:r>
              <w:rPr>
                <w:rFonts w:ascii="Times New Roman" w:hAnsi="Times New Roman"/>
                <w:sz w:val="12"/>
              </w:rPr>
              <w:t>Yahweh with Joshua</w:t>
            </w:r>
          </w:p>
        </w:tc>
        <w:tc>
          <w:tcPr>
            <w:tcW w:type="dxa" w:w="3561"/>
            <w:vAlign w:val="top"/>
          </w:tcPr>
          <w:p>
            <w:pPr>
              <w:spacing w:after="0" w:line="221" w:lineRule="auto"/>
            </w:pPr>
            <w:r>
              <w:rPr>
                <w:rFonts w:ascii="Times New Roman" w:hAnsi="Times New Roman"/>
                <w:sz w:val="12"/>
              </w:rPr>
              <w:t>Do not replace explicit subject with angelic mediator.</w:t>
            </w:r>
          </w:p>
        </w:tc>
      </w:tr>
      <w:tr>
        <w:tc>
          <w:tcPr>
            <w:tcW w:type="dxa" w:w="3561"/>
            <w:vAlign w:val="top"/>
          </w:tcPr>
          <w:p>
            <w:pPr>
              <w:spacing w:after="0" w:line="221" w:lineRule="auto"/>
            </w:pPr>
            <w:r>
              <w:rPr>
                <w:rFonts w:ascii="Times New Roman" w:hAnsi="Times New Roman"/>
                <w:sz w:val="12"/>
              </w:rPr>
              <w:t>Heb. 13:5</w:t>
            </w:r>
          </w:p>
        </w:tc>
        <w:tc>
          <w:tcPr>
            <w:tcW w:type="dxa" w:w="3561"/>
            <w:vAlign w:val="top"/>
          </w:tcPr>
          <w:p>
            <w:pPr>
              <w:spacing w:after="0" w:line="221" w:lineRule="auto"/>
            </w:pPr>
            <w:r>
              <w:rPr>
                <w:rFonts w:ascii="Times New Roman" w:hAnsi="Times New Roman"/>
                <w:sz w:val="12"/>
              </w:rPr>
              <w:t>never leave/forsake</w:t>
            </w:r>
          </w:p>
        </w:tc>
        <w:tc>
          <w:tcPr>
            <w:tcW w:type="dxa" w:w="3561"/>
            <w:vAlign w:val="top"/>
          </w:tcPr>
          <w:p>
            <w:pPr>
              <w:spacing w:after="0" w:line="221" w:lineRule="auto"/>
            </w:pPr>
            <w:r>
              <w:rPr>
                <w:rFonts w:ascii="Times New Roman" w:hAnsi="Times New Roman"/>
                <w:sz w:val="12"/>
              </w:rPr>
              <w:t>NT application of Divine-presence assurance.</w:t>
            </w:r>
          </w:p>
        </w:tc>
      </w:tr>
      <w:tr>
        <w:tc>
          <w:tcPr>
            <w:tcW w:type="dxa" w:w="3561"/>
            <w:vAlign w:val="top"/>
          </w:tcPr>
          <w:p>
            <w:pPr>
              <w:spacing w:after="0" w:line="221" w:lineRule="auto"/>
            </w:pPr>
            <w:r>
              <w:rPr>
                <w:rFonts w:ascii="Times New Roman" w:hAnsi="Times New Roman"/>
                <w:sz w:val="12"/>
              </w:rPr>
              <w:t>Josh. 1:7</w:t>
            </w:r>
          </w:p>
        </w:tc>
        <w:tc>
          <w:tcPr>
            <w:tcW w:type="dxa" w:w="3561"/>
            <w:vAlign w:val="top"/>
          </w:tcPr>
          <w:p>
            <w:pPr>
              <w:spacing w:after="0" w:line="221" w:lineRule="auto"/>
            </w:pPr>
            <w:r>
              <w:rPr>
                <w:rFonts w:ascii="Times New Roman" w:hAnsi="Times New Roman"/>
                <w:sz w:val="12"/>
              </w:rPr>
              <w:t>sakal</w:t>
            </w:r>
          </w:p>
        </w:tc>
        <w:tc>
          <w:tcPr>
            <w:tcW w:type="dxa" w:w="3561"/>
            <w:vAlign w:val="top"/>
          </w:tcPr>
          <w:p>
            <w:pPr>
              <w:spacing w:after="0" w:line="221" w:lineRule="auto"/>
            </w:pPr>
            <w:r>
              <w:rPr>
                <w:rFonts w:ascii="Times New Roman" w:hAnsi="Times New Roman"/>
                <w:sz w:val="12"/>
              </w:rPr>
              <w:t>Act wisely / succeed.</w:t>
            </w:r>
          </w:p>
        </w:tc>
      </w:tr>
      <w:tr>
        <w:tc>
          <w:tcPr>
            <w:tcW w:type="dxa" w:w="3561"/>
            <w:vAlign w:val="top"/>
          </w:tcPr>
          <w:p>
            <w:pPr>
              <w:spacing w:after="0" w:line="221" w:lineRule="auto"/>
            </w:pPr>
            <w:r>
              <w:rPr>
                <w:rFonts w:ascii="Times New Roman" w:hAnsi="Times New Roman"/>
                <w:sz w:val="12"/>
              </w:rPr>
              <w:t>Josh. 1:8</w:t>
            </w:r>
          </w:p>
        </w:tc>
        <w:tc>
          <w:tcPr>
            <w:tcW w:type="dxa" w:w="3561"/>
            <w:vAlign w:val="top"/>
          </w:tcPr>
          <w:p>
            <w:pPr>
              <w:spacing w:after="0" w:line="221" w:lineRule="auto"/>
            </w:pPr>
            <w:r>
              <w:rPr>
                <w:rFonts w:ascii="Times New Roman" w:hAnsi="Times New Roman"/>
                <w:sz w:val="12"/>
              </w:rPr>
              <w:t>hagah</w:t>
            </w:r>
          </w:p>
        </w:tc>
        <w:tc>
          <w:tcPr>
            <w:tcW w:type="dxa" w:w="3561"/>
            <w:vAlign w:val="top"/>
          </w:tcPr>
          <w:p>
            <w:pPr>
              <w:spacing w:after="0" w:line="221" w:lineRule="auto"/>
            </w:pPr>
            <w:r>
              <w:rPr>
                <w:rFonts w:ascii="Times New Roman" w:hAnsi="Times New Roman"/>
                <w:sz w:val="12"/>
              </w:rPr>
              <w:t>Meditate / mutter / recite.</w:t>
            </w:r>
          </w:p>
        </w:tc>
      </w:tr>
      <w:tr>
        <w:tc>
          <w:tcPr>
            <w:tcW w:type="dxa" w:w="3561"/>
            <w:vAlign w:val="top"/>
          </w:tcPr>
          <w:p>
            <w:pPr>
              <w:spacing w:after="0" w:line="221" w:lineRule="auto"/>
            </w:pPr>
            <w:r>
              <w:rPr>
                <w:rFonts w:ascii="Times New Roman" w:hAnsi="Times New Roman"/>
                <w:sz w:val="12"/>
              </w:rPr>
              <w:t>Josh. 1:8</w:t>
            </w:r>
          </w:p>
        </w:tc>
        <w:tc>
          <w:tcPr>
            <w:tcW w:type="dxa" w:w="3561"/>
            <w:vAlign w:val="top"/>
          </w:tcPr>
          <w:p>
            <w:pPr>
              <w:spacing w:after="0" w:line="221" w:lineRule="auto"/>
            </w:pPr>
            <w:r>
              <w:rPr>
                <w:rFonts w:ascii="Times New Roman" w:hAnsi="Times New Roman"/>
                <w:sz w:val="12"/>
              </w:rPr>
              <w:t>prosperity/success</w:t>
            </w:r>
          </w:p>
        </w:tc>
        <w:tc>
          <w:tcPr>
            <w:tcW w:type="dxa" w:w="3561"/>
            <w:vAlign w:val="top"/>
          </w:tcPr>
          <w:p>
            <w:pPr>
              <w:spacing w:after="0" w:line="221" w:lineRule="auto"/>
            </w:pPr>
            <w:r>
              <w:rPr>
                <w:rFonts w:ascii="Times New Roman" w:hAnsi="Times New Roman"/>
                <w:sz w:val="12"/>
              </w:rPr>
              <w:t>Commission-context, not universal wealth promise.</w:t>
            </w:r>
          </w:p>
        </w:tc>
      </w:tr>
      <w:tr>
        <w:tc>
          <w:tcPr>
            <w:tcW w:type="dxa" w:w="3561"/>
            <w:vAlign w:val="top"/>
          </w:tcPr>
          <w:p>
            <w:pPr>
              <w:spacing w:after="0" w:line="221" w:lineRule="auto"/>
            </w:pPr>
            <w:r>
              <w:rPr>
                <w:rFonts w:ascii="Times New Roman" w:hAnsi="Times New Roman"/>
                <w:sz w:val="12"/>
              </w:rPr>
              <w:t>Josh. 1:10</w:t>
            </w:r>
          </w:p>
        </w:tc>
        <w:tc>
          <w:tcPr>
            <w:tcW w:type="dxa" w:w="3561"/>
            <w:vAlign w:val="top"/>
          </w:tcPr>
          <w:p>
            <w:pPr>
              <w:spacing w:after="0" w:line="221" w:lineRule="auto"/>
            </w:pPr>
            <w:r>
              <w:rPr>
                <w:rFonts w:ascii="Times New Roman" w:hAnsi="Times New Roman"/>
                <w:sz w:val="12"/>
              </w:rPr>
              <w:t>shoterim</w:t>
            </w:r>
          </w:p>
        </w:tc>
        <w:tc>
          <w:tcPr>
            <w:tcW w:type="dxa" w:w="3561"/>
            <w:vAlign w:val="top"/>
          </w:tcPr>
          <w:p>
            <w:pPr>
              <w:spacing w:after="0" w:line="221" w:lineRule="auto"/>
            </w:pPr>
            <w:r>
              <w:rPr>
                <w:rFonts w:ascii="Times New Roman" w:hAnsi="Times New Roman"/>
                <w:sz w:val="12"/>
              </w:rPr>
              <w:t>Administrative officers.</w:t>
            </w:r>
          </w:p>
        </w:tc>
      </w:tr>
      <w:tr>
        <w:tc>
          <w:tcPr>
            <w:tcW w:type="dxa" w:w="3561"/>
            <w:vAlign w:val="top"/>
          </w:tcPr>
          <w:p>
            <w:pPr>
              <w:spacing w:after="0" w:line="221" w:lineRule="auto"/>
            </w:pPr>
            <w:r>
              <w:rPr>
                <w:rFonts w:ascii="Times New Roman" w:hAnsi="Times New Roman"/>
                <w:sz w:val="12"/>
              </w:rPr>
              <w:t>Josh. 1:11; 2:1; 3:2</w:t>
            </w:r>
          </w:p>
        </w:tc>
        <w:tc>
          <w:tcPr>
            <w:tcW w:type="dxa" w:w="3561"/>
            <w:vAlign w:val="top"/>
          </w:tcPr>
          <w:p>
            <w:pPr>
              <w:spacing w:after="0" w:line="221" w:lineRule="auto"/>
            </w:pPr>
            <w:r>
              <w:rPr>
                <w:rFonts w:ascii="Times New Roman" w:hAnsi="Times New Roman"/>
                <w:sz w:val="12"/>
              </w:rPr>
              <w:t>three-day chronology</w:t>
            </w:r>
          </w:p>
        </w:tc>
        <w:tc>
          <w:tcPr>
            <w:tcW w:type="dxa" w:w="3561"/>
            <w:vAlign w:val="top"/>
          </w:tcPr>
          <w:p>
            <w:pPr>
              <w:spacing w:after="0" w:line="221" w:lineRule="auto"/>
            </w:pPr>
            <w:r>
              <w:rPr>
                <w:rFonts w:ascii="Times New Roman" w:hAnsi="Times New Roman"/>
                <w:sz w:val="12"/>
              </w:rPr>
              <w:t>Narrative harmonisation debated.</w:t>
            </w:r>
          </w:p>
        </w:tc>
      </w:tr>
      <w:tr>
        <w:tc>
          <w:tcPr>
            <w:tcW w:type="dxa" w:w="3561"/>
            <w:vAlign w:val="top"/>
          </w:tcPr>
          <w:p>
            <w:pPr>
              <w:spacing w:after="0" w:line="221" w:lineRule="auto"/>
            </w:pPr>
            <w:r>
              <w:rPr>
                <w:rFonts w:ascii="Times New Roman" w:hAnsi="Times New Roman"/>
                <w:sz w:val="12"/>
              </w:rPr>
              <w:t>Josh. 1:14</w:t>
            </w:r>
          </w:p>
        </w:tc>
        <w:tc>
          <w:tcPr>
            <w:tcW w:type="dxa" w:w="3561"/>
            <w:vAlign w:val="top"/>
          </w:tcPr>
          <w:p>
            <w:pPr>
              <w:spacing w:after="0" w:line="221" w:lineRule="auto"/>
            </w:pPr>
            <w:r>
              <w:rPr>
                <w:rFonts w:ascii="Times New Roman" w:hAnsi="Times New Roman"/>
                <w:sz w:val="12"/>
              </w:rPr>
              <w:t>chamushim</w:t>
            </w:r>
          </w:p>
        </w:tc>
        <w:tc>
          <w:tcPr>
            <w:tcW w:type="dxa" w:w="3561"/>
            <w:vAlign w:val="top"/>
          </w:tcPr>
          <w:p>
            <w:pPr>
              <w:spacing w:after="0" w:line="221" w:lineRule="auto"/>
            </w:pPr>
            <w:r>
              <w:rPr>
                <w:rFonts w:ascii="Times New Roman" w:hAnsi="Times New Roman"/>
                <w:sz w:val="12"/>
              </w:rPr>
              <w:t>Equipped/armed/arrayed; five-abreast etymology uncertain.</w:t>
            </w:r>
          </w:p>
        </w:tc>
      </w:tr>
      <w:tr>
        <w:tc>
          <w:tcPr>
            <w:tcW w:type="dxa" w:w="3561"/>
            <w:vAlign w:val="top"/>
          </w:tcPr>
          <w:p>
            <w:pPr>
              <w:spacing w:after="0" w:line="221" w:lineRule="auto"/>
            </w:pPr>
            <w:r>
              <w:rPr>
                <w:rFonts w:ascii="Times New Roman" w:hAnsi="Times New Roman"/>
                <w:sz w:val="12"/>
              </w:rPr>
              <w:t>Josh. 1:15</w:t>
            </w:r>
          </w:p>
        </w:tc>
        <w:tc>
          <w:tcPr>
            <w:tcW w:type="dxa" w:w="3561"/>
            <w:vAlign w:val="top"/>
          </w:tcPr>
          <w:p>
            <w:pPr>
              <w:spacing w:after="0" w:line="221" w:lineRule="auto"/>
            </w:pPr>
            <w:r>
              <w:rPr>
                <w:rFonts w:ascii="Times New Roman" w:hAnsi="Times New Roman"/>
                <w:sz w:val="12"/>
              </w:rPr>
              <w:t>rest for brethren</w:t>
            </w:r>
          </w:p>
        </w:tc>
        <w:tc>
          <w:tcPr>
            <w:tcW w:type="dxa" w:w="3561"/>
            <w:vAlign w:val="top"/>
          </w:tcPr>
          <w:p>
            <w:pPr>
              <w:spacing w:after="0" w:line="221" w:lineRule="auto"/>
            </w:pPr>
            <w:r>
              <w:rPr>
                <w:rFonts w:ascii="Times New Roman" w:hAnsi="Times New Roman"/>
                <w:sz w:val="12"/>
              </w:rPr>
              <w:t>Num. 32; Deut. 3 background.</w:t>
            </w:r>
          </w:p>
        </w:tc>
      </w:tr>
      <w:tr>
        <w:tc>
          <w:tcPr>
            <w:tcW w:type="dxa" w:w="3561"/>
            <w:vAlign w:val="top"/>
          </w:tcPr>
          <w:p>
            <w:pPr>
              <w:spacing w:after="0" w:line="221" w:lineRule="auto"/>
            </w:pPr>
            <w:r>
              <w:rPr>
                <w:rFonts w:ascii="Times New Roman" w:hAnsi="Times New Roman"/>
                <w:sz w:val="12"/>
              </w:rPr>
              <w:t>Josh. 1:16–18</w:t>
            </w:r>
          </w:p>
        </w:tc>
        <w:tc>
          <w:tcPr>
            <w:tcW w:type="dxa" w:w="3561"/>
            <w:vAlign w:val="top"/>
          </w:tcPr>
          <w:p>
            <w:pPr>
              <w:spacing w:after="0" w:line="221" w:lineRule="auto"/>
            </w:pPr>
            <w:r>
              <w:rPr>
                <w:rFonts w:ascii="Times New Roman" w:hAnsi="Times New Roman"/>
                <w:sz w:val="12"/>
              </w:rPr>
              <w:t>pledged obedience</w:t>
            </w:r>
          </w:p>
        </w:tc>
        <w:tc>
          <w:tcPr>
            <w:tcW w:type="dxa" w:w="3561"/>
            <w:vAlign w:val="top"/>
          </w:tcPr>
          <w:p>
            <w:pPr>
              <w:spacing w:after="0" w:line="221" w:lineRule="auto"/>
            </w:pPr>
            <w:r>
              <w:rPr>
                <w:rFonts w:ascii="Times New Roman" w:hAnsi="Times New Roman"/>
                <w:sz w:val="12"/>
              </w:rPr>
              <w:t>Joshua publicly accepted as leader.</w:t>
            </w:r>
          </w:p>
        </w:tc>
      </w:tr>
    </w:tbl>
    <w:p>
      <w:pPr>
        <w:pStyle w:val="Heading1"/>
      </w:pPr>
      <w:r>
        <w:t>RESIDUAL UNCERTAINTIES</w:t>
      </w:r>
    </w:p>
    <w:p>
      <w:pPr/>
      <w:r>
        <w:rPr>
          <w:i w:val="0"/>
        </w:rPr>
        <w:t>The exact narrative chronology of the spies relative to Joshua 1:11 and the historical extent represented by the territorial formula in verse 4 remain interpretative questions. Mansfield’s “five abreast” reading of `chamushim` has been qualified.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JOSHUA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7"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2" w:after="10"/>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7" w:after="10"/>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